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İLH105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Tefsir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Tarihi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Usulü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İsmail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Çalışkan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12554" w:rsidP="00112554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Kur’an’ın nüzulü ve beşle buluşması, onun hem anlaşılması hem uygulanmasını gündeme getirmiştir. Bu derste işte bu mevzunun tarihi yolculuğu işlenmektedir. </w:t>
            </w:r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Hz. Peygamber, sahabe ve tabiin neslin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in bu alandaki ilk faaliyetleri, onlardan sonraki zamanlarda bu uğurdaki ilmi çabalar,</w:t>
            </w:r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Emevi</w:t>
            </w:r>
            <w:proofErr w:type="spellEnd"/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Abbasi, Osmanlı ve çağdaş dönemlerdeki Kur'an'ı yorumlama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girişimleri</w:t>
            </w:r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ayrıntılı anlatılmaktadır. Bu arada</w:t>
            </w:r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Kur'an'ı anlamak için gerekli olan ıstılahlar ile usul konuları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da dersin muhtevasına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dahildi</w:t>
            </w:r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</w:t>
            </w:r>
            <w:proofErr w:type="gramEnd"/>
            <w:r w:rsidR="00A2352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Başlangıçtan günümüze kadar Kur'an-ı Kerim'in yorumlanma sürecini ve ortaya çıkan tefsir disiplininin usulünü ana noktaları öne çıkararak öğrenciye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Arapça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23522" w:rsidRPr="00A23522" w:rsidRDefault="00A23522" w:rsidP="00A23522">
            <w:pPr>
              <w:rPr>
                <w:b/>
                <w:szCs w:val="20"/>
              </w:rPr>
            </w:pPr>
            <w:r w:rsidRPr="00A23522">
              <w:rPr>
                <w:bCs/>
                <w:szCs w:val="20"/>
              </w:rPr>
              <w:t>İst. 2015-</w:t>
            </w:r>
            <w:r w:rsidRPr="00A23522">
              <w:rPr>
                <w:rFonts w:hint="cs"/>
                <w:b/>
                <w:szCs w:val="20"/>
                <w:rtl/>
              </w:rPr>
              <w:t xml:space="preserve">محاضرات في علوم القران وتاريخ التفسير </w:t>
            </w:r>
            <w:r w:rsidRPr="00A23522">
              <w:rPr>
                <w:b/>
                <w:szCs w:val="20"/>
              </w:rPr>
              <w:t xml:space="preserve"> -</w:t>
            </w:r>
            <w:r w:rsidRPr="00A23522">
              <w:rPr>
                <w:rFonts w:hint="cs"/>
                <w:b/>
                <w:szCs w:val="20"/>
                <w:rtl/>
              </w:rPr>
              <w:t xml:space="preserve"> هارون أوكمش </w:t>
            </w:r>
          </w:p>
          <w:p w:rsidR="00112554" w:rsidRPr="00A23522" w:rsidRDefault="00112554" w:rsidP="00112554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</w:rPr>
              <w:t xml:space="preserve">İsmail Çalışkan, </w:t>
            </w:r>
            <w:r w:rsidRPr="00A23522">
              <w:rPr>
                <w:rFonts w:ascii="Arial" w:hAnsi="Arial" w:cs="Arial"/>
                <w:b/>
                <w:i/>
                <w:iCs/>
                <w:color w:val="404040"/>
                <w:szCs w:val="20"/>
              </w:rPr>
              <w:t xml:space="preserve">Tefsir </w:t>
            </w:r>
            <w:r>
              <w:rPr>
                <w:rFonts w:ascii="Arial" w:hAnsi="Arial" w:cs="Arial"/>
                <w:b/>
                <w:i/>
                <w:iCs/>
                <w:color w:val="404040"/>
                <w:szCs w:val="20"/>
              </w:rPr>
              <w:t>Tarihi</w:t>
            </w:r>
          </w:p>
          <w:p w:rsidR="00112554" w:rsidRDefault="00A23522" w:rsidP="00112554">
            <w:pPr>
              <w:rPr>
                <w:rFonts w:ascii="Arial" w:hAnsi="Arial" w:cs="Arial"/>
                <w:b/>
                <w:i/>
                <w:iCs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</w:rPr>
              <w:t xml:space="preserve">İsmail Çalışkan, </w:t>
            </w:r>
            <w:r w:rsidRPr="00A23522">
              <w:rPr>
                <w:rFonts w:ascii="Arial" w:hAnsi="Arial" w:cs="Arial"/>
                <w:b/>
                <w:i/>
                <w:iCs/>
                <w:color w:val="404040"/>
                <w:szCs w:val="20"/>
              </w:rPr>
              <w:t>Tefsir Usulü</w:t>
            </w:r>
          </w:p>
          <w:p w:rsidR="00A23522" w:rsidRPr="00A23522" w:rsidRDefault="00112554" w:rsidP="00112554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i/>
                <w:iCs/>
                <w:color w:val="404040"/>
              </w:rPr>
              <w:t>Tefsir El Kitabı</w:t>
            </w:r>
            <w:r w:rsidRPr="00A23522">
              <w:rPr>
                <w:rFonts w:ascii="Arial" w:hAnsi="Arial" w:cs="Arial"/>
                <w:b/>
                <w:color w:val="404040"/>
              </w:rPr>
              <w:t>, ed. Mehmet Akif Koç</w:t>
            </w:r>
          </w:p>
          <w:p w:rsidR="00A23522" w:rsidRPr="00A23522" w:rsidRDefault="00A23522" w:rsidP="00A23522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  <w:rtl/>
              </w:rPr>
              <w:t>محمد حسين الذهبي– علم التفسير (خاصة)</w:t>
            </w:r>
          </w:p>
          <w:p w:rsidR="00A23522" w:rsidRPr="00A23522" w:rsidRDefault="00A23522" w:rsidP="00A23522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  <w:rtl/>
              </w:rPr>
              <w:t>الزركشي– البرهان في علوم القرأن</w:t>
            </w:r>
          </w:p>
          <w:p w:rsidR="00A23522" w:rsidRPr="00A23522" w:rsidRDefault="00A23522" w:rsidP="00A23522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  <w:rtl/>
              </w:rPr>
              <w:t>السيوطي – الإتقان في علوم القرأن</w:t>
            </w:r>
          </w:p>
          <w:p w:rsidR="00A23522" w:rsidRPr="00A23522" w:rsidRDefault="00A23522" w:rsidP="00A23522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  <w:rtl/>
              </w:rPr>
              <w:t>محمد حسين الذهبي–التفسير و المفسرون</w:t>
            </w:r>
          </w:p>
          <w:p w:rsidR="00A23522" w:rsidRPr="00A23522" w:rsidRDefault="00A23522" w:rsidP="00A23522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  <w:rtl/>
              </w:rPr>
              <w:t>صبحي الصالح–مباحث في علوم القرأن</w:t>
            </w:r>
          </w:p>
          <w:p w:rsidR="00A23522" w:rsidRPr="00A23522" w:rsidRDefault="00A23522" w:rsidP="00A23522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  <w:rtl/>
              </w:rPr>
              <w:t>مناع القطان– مباحث في علوم القرأن</w:t>
            </w:r>
          </w:p>
          <w:p w:rsidR="00BC32DD" w:rsidRPr="00112554" w:rsidRDefault="00A23522" w:rsidP="00112554">
            <w:pPr>
              <w:rPr>
                <w:rFonts w:ascii="Arial" w:hAnsi="Arial" w:cs="Arial"/>
                <w:b/>
                <w:color w:val="404040"/>
                <w:szCs w:val="20"/>
              </w:rPr>
            </w:pPr>
            <w:r w:rsidRPr="00A23522">
              <w:rPr>
                <w:rFonts w:ascii="Arial" w:hAnsi="Arial" w:cs="Arial"/>
                <w:b/>
                <w:color w:val="404040"/>
                <w:szCs w:val="20"/>
                <w:rtl/>
              </w:rPr>
              <w:t>محمد علي الصابوني_التبيان في علوم القرأن</w:t>
            </w:r>
            <w:r w:rsidRPr="00A23522">
              <w:rPr>
                <w:rFonts w:ascii="Arial" w:hAnsi="Arial" w:cs="Arial"/>
                <w:b/>
                <w:color w:val="404040"/>
                <w:szCs w:val="20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235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25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F02A6"/>
    <w:rsid w:val="00112554"/>
    <w:rsid w:val="00832BE3"/>
    <w:rsid w:val="009E0FA1"/>
    <w:rsid w:val="00A23522"/>
    <w:rsid w:val="00A7419C"/>
    <w:rsid w:val="00AA483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6B61"/>
  <w15:docId w15:val="{DE40B404-DAED-4644-AFD8-647ABA6E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rsid w:val="00A23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8</cp:revision>
  <dcterms:created xsi:type="dcterms:W3CDTF">2017-02-03T08:50:00Z</dcterms:created>
  <dcterms:modified xsi:type="dcterms:W3CDTF">2021-08-18T15:55:00Z</dcterms:modified>
</cp:coreProperties>
</file>