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16" w:rsidRPr="008B26F9" w:rsidRDefault="00424110" w:rsidP="000E729B">
      <w:pPr>
        <w:jc w:val="center"/>
        <w:rPr>
          <w:rFonts w:ascii="Arial" w:hAnsi="Arial" w:cs="Arial"/>
          <w:sz w:val="18"/>
          <w:szCs w:val="18"/>
        </w:rPr>
      </w:pPr>
      <w:r w:rsidRPr="008B26F9">
        <w:rPr>
          <w:rFonts w:ascii="Arial" w:hAnsi="Arial" w:cs="Arial"/>
          <w:b/>
          <w:sz w:val="18"/>
          <w:szCs w:val="18"/>
        </w:rPr>
        <w:t xml:space="preserve">Ankara </w:t>
      </w:r>
      <w:r w:rsidR="00F12016" w:rsidRPr="008B26F9">
        <w:rPr>
          <w:rFonts w:ascii="Arial" w:hAnsi="Arial" w:cs="Arial"/>
          <w:b/>
          <w:sz w:val="18"/>
          <w:szCs w:val="18"/>
        </w:rPr>
        <w:t>Üniversitesi</w:t>
      </w:r>
      <w:r w:rsidRPr="008B26F9">
        <w:rPr>
          <w:rFonts w:ascii="Arial" w:hAnsi="Arial" w:cs="Arial"/>
          <w:b/>
          <w:sz w:val="18"/>
          <w:szCs w:val="18"/>
        </w:rPr>
        <w:br/>
        <w:t xml:space="preserve">Kütüphane ve Dokümantasyon Daire Başkanlığı </w:t>
      </w:r>
    </w:p>
    <w:p w:rsidR="00F12016" w:rsidRPr="008B26F9" w:rsidRDefault="00F12016" w:rsidP="000E729B">
      <w:pPr>
        <w:jc w:val="center"/>
        <w:rPr>
          <w:rFonts w:ascii="Arial" w:hAnsi="Arial" w:cs="Arial"/>
          <w:b/>
          <w:sz w:val="18"/>
          <w:szCs w:val="18"/>
        </w:rPr>
      </w:pPr>
      <w:r w:rsidRPr="008B26F9">
        <w:rPr>
          <w:rFonts w:ascii="Arial" w:hAnsi="Arial" w:cs="Arial"/>
          <w:b/>
          <w:sz w:val="18"/>
          <w:szCs w:val="18"/>
        </w:rPr>
        <w:t>Açık Ders Malzemeleri</w:t>
      </w:r>
    </w:p>
    <w:p w:rsidR="00F12016" w:rsidRPr="008B26F9" w:rsidRDefault="00F12016" w:rsidP="000E729B">
      <w:pPr>
        <w:pStyle w:val="Basliklar"/>
        <w:spacing w:before="0" w:after="0"/>
        <w:jc w:val="center"/>
        <w:rPr>
          <w:rFonts w:ascii="Arial" w:hAnsi="Arial" w:cs="Arial"/>
          <w:sz w:val="18"/>
          <w:szCs w:val="18"/>
        </w:rPr>
      </w:pPr>
    </w:p>
    <w:p w:rsidR="00F12016" w:rsidRPr="008B26F9" w:rsidRDefault="00F12016" w:rsidP="000E729B">
      <w:pPr>
        <w:pStyle w:val="Basliklar"/>
        <w:spacing w:before="0" w:after="0"/>
        <w:jc w:val="center"/>
        <w:rPr>
          <w:rFonts w:ascii="Arial" w:hAnsi="Arial" w:cs="Arial"/>
          <w:b w:val="0"/>
          <w:sz w:val="18"/>
          <w:szCs w:val="18"/>
        </w:rPr>
      </w:pPr>
      <w:r w:rsidRPr="008B26F9">
        <w:rPr>
          <w:rFonts w:ascii="Arial" w:hAnsi="Arial" w:cs="Arial"/>
          <w:sz w:val="18"/>
          <w:szCs w:val="18"/>
        </w:rPr>
        <w:t xml:space="preserve">Ders </w:t>
      </w:r>
      <w:r w:rsidR="00877220" w:rsidRPr="008B26F9">
        <w:rPr>
          <w:rFonts w:ascii="Arial" w:hAnsi="Arial" w:cs="Arial"/>
          <w:sz w:val="18"/>
          <w:szCs w:val="18"/>
        </w:rPr>
        <w:t>İ</w:t>
      </w:r>
      <w:r w:rsidRPr="008B26F9">
        <w:rPr>
          <w:rFonts w:ascii="Arial" w:hAnsi="Arial" w:cs="Arial"/>
          <w:sz w:val="18"/>
          <w:szCs w:val="18"/>
        </w:rPr>
        <w:t>zlence Formu</w:t>
      </w:r>
    </w:p>
    <w:p w:rsidR="00F12016" w:rsidRPr="008B26F9" w:rsidRDefault="00F12016" w:rsidP="000E729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6674"/>
      </w:tblGrid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Lesson</w:t>
            </w:r>
            <w:proofErr w:type="spellEnd"/>
            <w:r w:rsidRPr="00496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Code</w:t>
            </w:r>
            <w:proofErr w:type="spellEnd"/>
            <w:r w:rsidRPr="00496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496435"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spacing w:before="0" w:after="0"/>
              <w:ind w:left="171" w:righ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VME 3317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Pharmacology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Prescription</w:t>
            </w:r>
            <w:proofErr w:type="spellEnd"/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Begüm YUDAKÖK DİKMEN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6435">
              <w:rPr>
                <w:rFonts w:ascii="Arial" w:hAnsi="Arial" w:cs="Arial"/>
                <w:b/>
                <w:sz w:val="18"/>
                <w:szCs w:val="18"/>
              </w:rPr>
              <w:t>Level</w:t>
            </w:r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0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Compulsory</w:t>
            </w:r>
            <w:proofErr w:type="spellEnd"/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Theme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characteristics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sources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veterinary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medicine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administration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routes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their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fate</w:t>
            </w:r>
            <w:proofErr w:type="spellEnd"/>
            <w:r>
              <w:rPr>
                <w:rFonts w:ascii="Arial" w:hAnsi="Arial"/>
                <w:sz w:val="18"/>
              </w:rPr>
              <w:t xml:space="preserve"> in body,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mechanisms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effects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usage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doses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side-effects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toxic-harmful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effects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interaction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between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situations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that</w:t>
            </w:r>
            <w:proofErr w:type="spellEnd"/>
            <w:r>
              <w:rPr>
                <w:rFonts w:ascii="Arial" w:hAnsi="Arial"/>
                <w:sz w:val="18"/>
              </w:rPr>
              <w:t xml:space="preserve"> limit </w:t>
            </w:r>
            <w:proofErr w:type="spellStart"/>
            <w:r>
              <w:rPr>
                <w:rFonts w:ascii="Arial" w:hAnsi="Arial"/>
                <w:sz w:val="18"/>
              </w:rPr>
              <w:t>their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usage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pharmaceutical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forms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preparation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techniques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quality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control</w:t>
            </w:r>
            <w:proofErr w:type="spellEnd"/>
            <w:r>
              <w:rPr>
                <w:rFonts w:ascii="Arial" w:hAnsi="Arial"/>
                <w:sz w:val="18"/>
              </w:rPr>
              <w:t xml:space="preserve"> in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inform</w:t>
            </w:r>
            <w:proofErr w:type="spellEnd"/>
            <w:r>
              <w:rPr>
                <w:rFonts w:ascii="Arial" w:hAnsi="Arial"/>
                <w:sz w:val="18"/>
              </w:rPr>
              <w:t xml:space="preserve"> on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registration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distribution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sale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give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knowledge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about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nervous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system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cardiovascular-hematopoietic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system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hormones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Objective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Teaching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student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candidate</w:t>
            </w:r>
            <w:proofErr w:type="spellEnd"/>
            <w:r>
              <w:rPr>
                <w:rFonts w:ascii="Arial" w:hAnsi="Arial"/>
                <w:sz w:val="18"/>
              </w:rPr>
              <w:t xml:space="preserve"> of a </w:t>
            </w:r>
            <w:proofErr w:type="spellStart"/>
            <w:r>
              <w:rPr>
                <w:rFonts w:ascii="Arial" w:hAnsi="Arial"/>
                <w:sz w:val="18"/>
              </w:rPr>
              <w:t>veterinarian</w:t>
            </w:r>
            <w:proofErr w:type="spellEnd"/>
            <w:r>
              <w:rPr>
                <w:rFonts w:ascii="Arial" w:hAnsi="Arial"/>
                <w:sz w:val="18"/>
              </w:rPr>
              <w:t xml:space="preserve"> how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recognize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veterinary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</w:t>
            </w:r>
            <w:proofErr w:type="spellEnd"/>
            <w:r>
              <w:rPr>
                <w:rFonts w:ascii="Arial" w:hAnsi="Arial"/>
                <w:sz w:val="18"/>
              </w:rPr>
              <w:t xml:space="preserve">, in </w:t>
            </w:r>
            <w:proofErr w:type="spellStart"/>
            <w:r>
              <w:rPr>
                <w:rFonts w:ascii="Arial" w:hAnsi="Arial"/>
                <w:sz w:val="18"/>
              </w:rPr>
              <w:t>addition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discussing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about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obligation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usage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learning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responsibility</w:t>
            </w:r>
            <w:proofErr w:type="spellEnd"/>
            <w:r>
              <w:rPr>
                <w:rFonts w:ascii="Arial" w:hAnsi="Arial"/>
                <w:sz w:val="18"/>
              </w:rPr>
              <w:t xml:space="preserve">, on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other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hand</w:t>
            </w:r>
            <w:proofErr w:type="spellEnd"/>
            <w:r>
              <w:rPr>
                <w:rFonts w:ascii="Arial" w:hAnsi="Arial"/>
                <w:sz w:val="18"/>
              </w:rPr>
              <w:t xml:space="preserve">, in </w:t>
            </w:r>
            <w:proofErr w:type="spellStart"/>
            <w:r>
              <w:rPr>
                <w:rFonts w:ascii="Arial" w:hAnsi="Arial"/>
                <w:sz w:val="18"/>
              </w:rPr>
              <w:t>case</w:t>
            </w:r>
            <w:proofErr w:type="spellEnd"/>
            <w:r>
              <w:rPr>
                <w:rFonts w:ascii="Arial" w:hAnsi="Arial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sz w:val="18"/>
              </w:rPr>
              <w:t>drug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usage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make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decision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that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which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dose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administration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route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treatment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schedule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will</w:t>
            </w:r>
            <w:proofErr w:type="spellEnd"/>
            <w:r>
              <w:rPr>
                <w:rFonts w:ascii="Arial" w:hAnsi="Arial"/>
                <w:sz w:val="18"/>
              </w:rPr>
              <w:t xml:space="preserve"> be </w:t>
            </w:r>
            <w:proofErr w:type="spellStart"/>
            <w:r>
              <w:rPr>
                <w:rFonts w:ascii="Arial" w:hAnsi="Arial"/>
                <w:sz w:val="18"/>
              </w:rPr>
              <w:t>chosen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shape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improve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conscious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skill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concerning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food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safety-public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health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due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drug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residues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6435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Semester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 h/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  <w:r w:rsidRPr="008B26F9">
              <w:rPr>
                <w:rFonts w:ascii="Arial" w:hAnsi="Arial" w:cs="Arial"/>
                <w:sz w:val="18"/>
                <w:szCs w:val="18"/>
              </w:rPr>
              <w:t xml:space="preserve">; 14 </w:t>
            </w:r>
            <w:r>
              <w:rPr>
                <w:rFonts w:ascii="Arial" w:hAnsi="Arial" w:cs="Arial"/>
                <w:sz w:val="18"/>
                <w:szCs w:val="18"/>
              </w:rPr>
              <w:t>weeks</w:t>
            </w:r>
            <w:bookmarkStart w:id="0" w:name="_GoBack"/>
            <w:bookmarkEnd w:id="0"/>
            <w:r w:rsidRPr="008B26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6435">
              <w:rPr>
                <w:rFonts w:ascii="Arial" w:hAnsi="Arial" w:cs="Arial"/>
                <w:b/>
                <w:sz w:val="18"/>
                <w:szCs w:val="18"/>
              </w:rPr>
              <w:t>Language</w:t>
            </w:r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Prerequisite</w:t>
            </w:r>
            <w:proofErr w:type="spellEnd"/>
          </w:p>
        </w:tc>
        <w:tc>
          <w:tcPr>
            <w:tcW w:w="6674" w:type="dxa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Recommend</w:t>
            </w:r>
            <w:proofErr w:type="spellEnd"/>
            <w:r w:rsidRPr="00496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References</w:t>
            </w:r>
            <w:proofErr w:type="spellEnd"/>
          </w:p>
        </w:tc>
        <w:tc>
          <w:tcPr>
            <w:tcW w:w="6674" w:type="dxa"/>
          </w:tcPr>
          <w:p w:rsidR="00496435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612397">
              <w:rPr>
                <w:rFonts w:ascii="Arial" w:hAnsi="Arial"/>
                <w:b/>
                <w:sz w:val="18"/>
              </w:rPr>
              <w:t>Adams,R</w:t>
            </w:r>
            <w:proofErr w:type="spellEnd"/>
            <w:proofErr w:type="gramEnd"/>
            <w:r w:rsidRPr="00612397">
              <w:rPr>
                <w:rFonts w:ascii="Arial" w:hAnsi="Arial"/>
                <w:b/>
                <w:sz w:val="18"/>
              </w:rPr>
              <w:t>. (</w:t>
            </w:r>
            <w:proofErr w:type="spellStart"/>
            <w:r w:rsidRPr="00612397">
              <w:rPr>
                <w:rFonts w:ascii="Arial" w:hAnsi="Arial"/>
                <w:b/>
                <w:sz w:val="18"/>
              </w:rPr>
              <w:t>Ed</w:t>
            </w:r>
            <w:proofErr w:type="spellEnd"/>
            <w:r w:rsidRPr="00612397">
              <w:rPr>
                <w:rFonts w:ascii="Arial" w:hAnsi="Arial"/>
                <w:b/>
                <w:sz w:val="18"/>
              </w:rPr>
              <w:t>).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Veterinary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Pharmacology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Therapeutisc</w:t>
            </w:r>
            <w:proofErr w:type="spellEnd"/>
            <w:r>
              <w:rPr>
                <w:rFonts w:ascii="Arial" w:hAnsi="Arial"/>
                <w:sz w:val="18"/>
              </w:rPr>
              <w:t>. 1998. 7</w:t>
            </w:r>
            <w:r>
              <w:rPr>
                <w:rFonts w:ascii="Arial" w:hAnsi="Arial"/>
                <w:sz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</w:rPr>
              <w:t xml:space="preserve"> Ed. Iowa </w:t>
            </w:r>
            <w:proofErr w:type="spellStart"/>
            <w:r>
              <w:rPr>
                <w:rFonts w:ascii="Arial" w:hAnsi="Arial"/>
                <w:sz w:val="18"/>
              </w:rPr>
              <w:t>Staet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Univ.Press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Ames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  <w:p w:rsidR="00496435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12397">
              <w:rPr>
                <w:rFonts w:ascii="Arial" w:hAnsi="Arial"/>
                <w:b/>
                <w:sz w:val="18"/>
              </w:rPr>
              <w:t>Brander</w:t>
            </w:r>
            <w:proofErr w:type="spellEnd"/>
            <w:r w:rsidRPr="00612397">
              <w:rPr>
                <w:rFonts w:ascii="Arial" w:hAnsi="Arial"/>
                <w:b/>
                <w:sz w:val="18"/>
              </w:rPr>
              <w:t xml:space="preserve"> et </w:t>
            </w:r>
            <w:proofErr w:type="spellStart"/>
            <w:r w:rsidRPr="00612397">
              <w:rPr>
                <w:rFonts w:ascii="Arial" w:hAnsi="Arial"/>
                <w:b/>
                <w:sz w:val="18"/>
              </w:rPr>
              <w:t>all</w:t>
            </w:r>
            <w:proofErr w:type="spellEnd"/>
            <w:r w:rsidRPr="00612397"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1991. </w:t>
            </w:r>
            <w:proofErr w:type="spellStart"/>
            <w:r>
              <w:rPr>
                <w:rFonts w:ascii="Arial" w:hAnsi="Arial"/>
                <w:sz w:val="18"/>
              </w:rPr>
              <w:t>Veterinary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Applied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Pharmacology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Therapeutics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Baiiliere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Tindall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London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 (Editor).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 2006. Veteriner Farmakoloji. Cilt 1 Baskı 4.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Yayınevi. (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.(Editor).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 2006. Veteriner Farmakoloji. Cilt 2 Baskı 4.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Yayınevi. (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 2008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Tıbbi Botanik ve Tıbbi Bitkiler.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</w:t>
            </w:r>
            <w:r>
              <w:rPr>
                <w:rFonts w:ascii="Arial" w:hAnsi="Arial" w:cs="Arial"/>
                <w:sz w:val="18"/>
                <w:szCs w:val="18"/>
              </w:rPr>
              <w:t>nevi.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WHO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Monographs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1999. </w:t>
            </w:r>
            <w:r>
              <w:rPr>
                <w:rFonts w:ascii="Arial" w:hAnsi="Arial" w:cs="Arial"/>
                <w:sz w:val="18"/>
                <w:szCs w:val="18"/>
              </w:rPr>
              <w:t xml:space="preserve">Volume 1. WHO.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Geneva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Wynn,S</w:t>
            </w:r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.G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Fougére,B.J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2007.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Herbal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Mosby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Elsevier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D1791"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>.Louis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Missouri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USP.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Wynn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SG,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Marsden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 2011. Manual of Natural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Mosby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Elsevier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D1791"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>.Louis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Missouri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USP.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Katerere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DR,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Luseba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2010.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Ethnoveterinary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Botanical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Herbal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Ani</w:t>
            </w:r>
            <w:r>
              <w:rPr>
                <w:rFonts w:ascii="Arial" w:hAnsi="Arial" w:cs="Arial"/>
                <w:sz w:val="18"/>
                <w:szCs w:val="18"/>
              </w:rPr>
              <w:t>mal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CRC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Pr="00ED1791" w:rsidRDefault="00496435" w:rsidP="00496435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Yarsan, E</w:t>
            </w:r>
            <w:r w:rsidRPr="00ED179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2016. Evcil Hayvanlarda Zehirli Bitkiler 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Türkiyede’ki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Dağılımları.Güneş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Tıp Kitapevleri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96435" w:rsidRPr="006B3D8C" w:rsidRDefault="00496435" w:rsidP="00496435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D1791">
              <w:rPr>
                <w:rFonts w:ascii="Arial" w:hAnsi="Arial" w:cs="Arial"/>
                <w:sz w:val="18"/>
                <w:szCs w:val="18"/>
              </w:rPr>
              <w:t xml:space="preserve">Other scientific resources </w:t>
            </w:r>
            <w:r>
              <w:rPr>
                <w:rFonts w:ascii="Arial" w:hAnsi="Arial" w:cs="Arial"/>
                <w:sz w:val="18"/>
                <w:szCs w:val="18"/>
              </w:rPr>
              <w:t>(publications, governmental/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r w:rsidRPr="00ED1791">
              <w:rPr>
                <w:rFonts w:ascii="Arial" w:hAnsi="Arial" w:cs="Arial"/>
                <w:sz w:val="18"/>
                <w:szCs w:val="18"/>
              </w:rPr>
              <w:t>governmental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official websites)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6435">
              <w:rPr>
                <w:rFonts w:ascii="Arial" w:hAnsi="Arial" w:cs="Arial"/>
                <w:b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6674" w:type="dxa"/>
            <w:vAlign w:val="center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6435" w:rsidRPr="008B26F9" w:rsidTr="00456D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39" w:type="dxa"/>
          </w:tcPr>
          <w:p w:rsidR="00496435" w:rsidRPr="00496435" w:rsidRDefault="00496435" w:rsidP="004964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6435">
              <w:rPr>
                <w:rFonts w:ascii="Arial" w:hAnsi="Arial" w:cs="Arial"/>
                <w:b/>
                <w:sz w:val="18"/>
                <w:szCs w:val="18"/>
              </w:rPr>
              <w:t>Other-1</w:t>
            </w:r>
          </w:p>
        </w:tc>
        <w:tc>
          <w:tcPr>
            <w:tcW w:w="6674" w:type="dxa"/>
            <w:vAlign w:val="center"/>
          </w:tcPr>
          <w:p w:rsidR="00496435" w:rsidRPr="008B26F9" w:rsidRDefault="00496435" w:rsidP="0049643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1791" w:rsidRPr="001A2552" w:rsidRDefault="00ED1791" w:rsidP="00ED1791">
      <w:pPr>
        <w:rPr>
          <w:sz w:val="16"/>
          <w:szCs w:val="16"/>
        </w:rPr>
      </w:pPr>
    </w:p>
    <w:sectPr w:rsidR="00ED1791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972AF"/>
    <w:rsid w:val="000E729B"/>
    <w:rsid w:val="001679EB"/>
    <w:rsid w:val="001B382C"/>
    <w:rsid w:val="002D3A13"/>
    <w:rsid w:val="002F2B65"/>
    <w:rsid w:val="003651A6"/>
    <w:rsid w:val="00397065"/>
    <w:rsid w:val="003F25E5"/>
    <w:rsid w:val="00423838"/>
    <w:rsid w:val="00424110"/>
    <w:rsid w:val="00436DA6"/>
    <w:rsid w:val="00455213"/>
    <w:rsid w:val="00492B90"/>
    <w:rsid w:val="00496435"/>
    <w:rsid w:val="004F0E2A"/>
    <w:rsid w:val="00596D40"/>
    <w:rsid w:val="005C0226"/>
    <w:rsid w:val="005F226D"/>
    <w:rsid w:val="0060081F"/>
    <w:rsid w:val="00612397"/>
    <w:rsid w:val="00654691"/>
    <w:rsid w:val="006B3D8C"/>
    <w:rsid w:val="006D2364"/>
    <w:rsid w:val="007E1CCE"/>
    <w:rsid w:val="007E64A8"/>
    <w:rsid w:val="0080797B"/>
    <w:rsid w:val="008478BF"/>
    <w:rsid w:val="00862181"/>
    <w:rsid w:val="00877220"/>
    <w:rsid w:val="00882803"/>
    <w:rsid w:val="008B26F9"/>
    <w:rsid w:val="008C02AD"/>
    <w:rsid w:val="009201A9"/>
    <w:rsid w:val="00A41B01"/>
    <w:rsid w:val="00AC2FEE"/>
    <w:rsid w:val="00AC3A13"/>
    <w:rsid w:val="00C24222"/>
    <w:rsid w:val="00C5584D"/>
    <w:rsid w:val="00C81F91"/>
    <w:rsid w:val="00C82D3D"/>
    <w:rsid w:val="00CB4C39"/>
    <w:rsid w:val="00CD42B8"/>
    <w:rsid w:val="00D25A69"/>
    <w:rsid w:val="00DD029B"/>
    <w:rsid w:val="00DE6D02"/>
    <w:rsid w:val="00E21BB7"/>
    <w:rsid w:val="00E31144"/>
    <w:rsid w:val="00E438F8"/>
    <w:rsid w:val="00ED1791"/>
    <w:rsid w:val="00F12016"/>
    <w:rsid w:val="00F310B4"/>
    <w:rsid w:val="00F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ABE75"/>
  <w15:chartTrackingRefBased/>
  <w15:docId w15:val="{351AF13B-24CA-48AA-B93C-364F7602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Ayhan Filazi</cp:lastModifiedBy>
  <cp:revision>2</cp:revision>
  <dcterms:created xsi:type="dcterms:W3CDTF">2021-10-01T18:22:00Z</dcterms:created>
  <dcterms:modified xsi:type="dcterms:W3CDTF">2021-10-01T18:22:00Z</dcterms:modified>
</cp:coreProperties>
</file>