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00" w:rsidRPr="00BB6800" w:rsidRDefault="00BB6800" w:rsidP="00BB6800">
      <w:pPr>
        <w:pBdr>
          <w:bottom w:val="single" w:sz="18" w:space="5" w:color="3E3F3E"/>
        </w:pBdr>
        <w:shd w:val="clear" w:color="auto" w:fill="FAF9F6"/>
        <w:spacing w:before="780" w:after="0" w:line="420" w:lineRule="atLeast"/>
        <w:outlineLvl w:val="0"/>
        <w:rPr>
          <w:rFonts w:ascii="Garamond" w:eastAsia="Times New Roman" w:hAnsi="Garamond" w:cs="Times New Roman"/>
          <w:b/>
          <w:bCs/>
          <w:color w:val="3E3F3E"/>
          <w:kern w:val="36"/>
          <w:sz w:val="60"/>
          <w:szCs w:val="60"/>
          <w:lang w:eastAsia="it-IT"/>
        </w:rPr>
      </w:pPr>
      <w:r w:rsidRPr="00BB6800">
        <w:rPr>
          <w:rFonts w:ascii="Garamond" w:eastAsia="Times New Roman" w:hAnsi="Garamond" w:cs="Times New Roman"/>
          <w:b/>
          <w:bCs/>
          <w:color w:val="3E3F3E"/>
          <w:kern w:val="36"/>
          <w:sz w:val="60"/>
          <w:szCs w:val="60"/>
          <w:lang w:eastAsia="it-IT"/>
        </w:rPr>
        <w:t>CONSECUTIVE, PROPOSIZIONI</w:t>
      </w:r>
    </w:p>
    <w:p w:rsidR="00BB6800" w:rsidRPr="00BB6800" w:rsidRDefault="00BB6800" w:rsidP="00BB6800">
      <w:pPr>
        <w:shd w:val="clear" w:color="auto" w:fill="FAF9F6"/>
        <w:spacing w:after="0" w:line="360" w:lineRule="atLeast"/>
        <w:rPr>
          <w:rFonts w:ascii="Arial" w:eastAsia="Times New Roman" w:hAnsi="Arial" w:cs="Arial"/>
          <w:b/>
          <w:bCs/>
          <w:color w:val="8B8C8B"/>
          <w:spacing w:val="11"/>
          <w:sz w:val="20"/>
          <w:szCs w:val="20"/>
          <w:lang w:eastAsia="it-IT"/>
        </w:rPr>
      </w:pPr>
      <w:r w:rsidRPr="00BB6800">
        <w:rPr>
          <w:rFonts w:ascii="Arial" w:eastAsia="Times New Roman" w:hAnsi="Arial" w:cs="Arial"/>
          <w:b/>
          <w:bCs/>
          <w:color w:val="8B8C8B"/>
          <w:spacing w:val="11"/>
          <w:sz w:val="20"/>
          <w:szCs w:val="20"/>
          <w:lang w:eastAsia="it-IT"/>
        </w:rPr>
        <w:t>La grammatica italiana (2012)</w:t>
      </w:r>
    </w:p>
    <w:p w:rsidR="00BB6800" w:rsidRPr="00BB6800" w:rsidRDefault="00BB6800" w:rsidP="00BB6800">
      <w:pPr>
        <w:numPr>
          <w:ilvl w:val="0"/>
          <w:numId w:val="1"/>
        </w:numPr>
        <w:shd w:val="clear" w:color="auto" w:fill="FAF9F6"/>
        <w:spacing w:beforeAutospacing="1" w:after="0" w:afterAutospacing="1" w:line="240" w:lineRule="auto"/>
        <w:ind w:left="-75"/>
        <w:jc w:val="center"/>
        <w:textAlignment w:val="baseline"/>
        <w:rPr>
          <w:rFonts w:ascii="Helvetica" w:eastAsia="Times New Roman" w:hAnsi="Helvetica" w:cs="Times New Roman"/>
          <w:b/>
          <w:bCs/>
          <w:color w:val="FFFFFF"/>
          <w:sz w:val="16"/>
          <w:szCs w:val="16"/>
          <w:lang w:eastAsia="it-IT"/>
        </w:rPr>
      </w:pPr>
      <w:r w:rsidRPr="00BB6800">
        <w:rPr>
          <w:rFonts w:ascii="Arial" w:eastAsia="Times New Roman" w:hAnsi="Arial" w:cs="Arial"/>
          <w:b/>
          <w:bCs/>
          <w:color w:val="3E3F3E"/>
          <w:spacing w:val="11"/>
          <w:sz w:val="20"/>
          <w:szCs w:val="20"/>
          <w:lang w:eastAsia="it-IT"/>
        </w:rPr>
        <w:t>Condividi</w:t>
      </w:r>
      <w:r w:rsidRPr="00BB6800">
        <w:rPr>
          <w:rFonts w:ascii="Helvetica" w:eastAsia="Times New Roman" w:hAnsi="Helvetica" w:cs="Times New Roman"/>
          <w:b/>
          <w:bCs/>
          <w:color w:val="FFFFFF"/>
          <w:sz w:val="16"/>
          <w:szCs w:val="16"/>
          <w:lang w:eastAsia="it-IT"/>
        </w:rPr>
        <w:t> </w:t>
      </w:r>
    </w:p>
    <w:p w:rsidR="00BB6800" w:rsidRPr="00BB6800" w:rsidRDefault="00BB6800" w:rsidP="00BB6800">
      <w:pPr>
        <w:numPr>
          <w:ilvl w:val="0"/>
          <w:numId w:val="1"/>
        </w:numPr>
        <w:shd w:val="clear" w:color="auto" w:fill="FAF9F6"/>
        <w:spacing w:beforeAutospacing="1" w:after="0" w:afterAutospacing="1" w:line="240" w:lineRule="auto"/>
        <w:ind w:left="-75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</w:pPr>
      <w:hyperlink r:id="rId5" w:tgtFrame="_blank" w:history="1">
        <w:r w:rsidRPr="00BB6800">
          <w:rPr>
            <w:rFonts w:ascii="Arial" w:eastAsia="Times New Roman" w:hAnsi="Arial" w:cs="Arial"/>
            <w:b/>
            <w:bCs/>
            <w:color w:val="3E3F3E"/>
            <w:spacing w:val="11"/>
            <w:sz w:val="20"/>
            <w:lang w:eastAsia="it-IT"/>
          </w:rPr>
          <w:t> </w:t>
        </w:r>
      </w:hyperlink>
    </w:p>
    <w:p w:rsidR="00BB6800" w:rsidRPr="00BB6800" w:rsidRDefault="00BB6800" w:rsidP="00BB6800">
      <w:pPr>
        <w:numPr>
          <w:ilvl w:val="0"/>
          <w:numId w:val="1"/>
        </w:numPr>
        <w:shd w:val="clear" w:color="auto" w:fill="FAF9F6"/>
        <w:spacing w:beforeAutospacing="1" w:after="0" w:afterAutospacing="1" w:line="240" w:lineRule="auto"/>
        <w:ind w:left="-75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</w:pPr>
      <w:hyperlink r:id="rId6" w:tgtFrame="_blank" w:history="1">
        <w:r w:rsidRPr="00BB6800">
          <w:rPr>
            <w:rFonts w:ascii="Arial" w:eastAsia="Times New Roman" w:hAnsi="Arial" w:cs="Arial"/>
            <w:b/>
            <w:bCs/>
            <w:color w:val="3E3F3E"/>
            <w:spacing w:val="11"/>
            <w:sz w:val="20"/>
            <w:lang w:eastAsia="it-IT"/>
          </w:rPr>
          <w:t> </w:t>
        </w:r>
      </w:hyperlink>
    </w:p>
    <w:p w:rsidR="00BB6800" w:rsidRPr="00BB6800" w:rsidRDefault="00BB6800" w:rsidP="00BB6800">
      <w:pPr>
        <w:numPr>
          <w:ilvl w:val="0"/>
          <w:numId w:val="1"/>
        </w:numPr>
        <w:shd w:val="clear" w:color="auto" w:fill="FAF9F6"/>
        <w:spacing w:beforeAutospacing="1" w:after="0" w:afterAutospacing="1" w:line="240" w:lineRule="auto"/>
        <w:ind w:left="-75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</w:pP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CONSECUTIVE, PROPOSIZIONI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 xml:space="preserve">Nell’analisi del periodo, le proposizioni consecutive sono proposizioni </w:t>
      </w:r>
      <w:r w:rsidRPr="00BB6800">
        <w:rPr>
          <w:rFonts w:ascii="MS Mincho" w:eastAsia="MS Mincho" w:hAnsi="MS Mincho" w:cs="MS Mincho" w:hint="eastAsia"/>
          <w:color w:val="3E3F3E"/>
          <w:sz w:val="33"/>
          <w:szCs w:val="33"/>
          <w:lang w:eastAsia="it-IT"/>
        </w:rPr>
        <w:t>➔</w:t>
      </w:r>
      <w:hyperlink r:id="rId7" w:history="1">
        <w:r w:rsidRPr="00BB6800">
          <w:rPr>
            <w:rFonts w:ascii="Garamond" w:eastAsia="Times New Roman" w:hAnsi="Garamond" w:cs="Times New Roman"/>
            <w:color w:val="D20000"/>
            <w:sz w:val="33"/>
            <w:lang w:eastAsia="it-IT"/>
          </w:rPr>
          <w:t>subordinate</w:t>
        </w:r>
      </w:hyperlink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nelle quali si esprime un fatto o una situazione che è la diretta conseguenza di quanto espresso nella principale.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Possono essere di forma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esplicita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o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implicita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.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• Nelle consecutive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esplicite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 xml:space="preserve">, il verbo è all’indicativo (in casi particolari anche al congiuntivo o al condizionale), preceduto da una congiunzione </w:t>
      </w:r>
      <w:r w:rsidRPr="00BB6800">
        <w:rPr>
          <w:rFonts w:ascii="MS Mincho" w:eastAsia="MS Mincho" w:hAnsi="MS Mincho" w:cs="MS Mincho" w:hint="eastAsia"/>
          <w:color w:val="3E3F3E"/>
          <w:sz w:val="33"/>
          <w:szCs w:val="33"/>
          <w:lang w:eastAsia="it-IT"/>
        </w:rPr>
        <w:t>➔</w:t>
      </w:r>
      <w:hyperlink r:id="rId8" w:history="1">
        <w:r w:rsidRPr="00BB6800">
          <w:rPr>
            <w:rFonts w:ascii="Garamond" w:eastAsia="Times New Roman" w:hAnsi="Garamond" w:cs="Times New Roman"/>
            <w:color w:val="D20000"/>
            <w:sz w:val="33"/>
            <w:lang w:eastAsia="it-IT"/>
          </w:rPr>
          <w:t>consecutiva</w:t>
        </w:r>
      </w:hyperlink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 xml:space="preserve"> o da una locuzione </w:t>
      </w:r>
      <w:r w:rsidRPr="00BB6800">
        <w:rPr>
          <w:rFonts w:ascii="MS Mincho" w:eastAsia="MS Mincho" w:hAnsi="MS Mincho" w:cs="MS Mincho" w:hint="eastAsia"/>
          <w:color w:val="3E3F3E"/>
          <w:sz w:val="33"/>
          <w:szCs w:val="33"/>
          <w:lang w:eastAsia="it-IT"/>
        </w:rPr>
        <w:t>➔</w:t>
      </w:r>
      <w:hyperlink r:id="rId9" w:history="1">
        <w:r w:rsidRPr="00BB6800">
          <w:rPr>
            <w:rFonts w:ascii="Garamond" w:eastAsia="Times New Roman" w:hAnsi="Garamond" w:cs="Times New Roman"/>
            <w:color w:val="D20000"/>
            <w:sz w:val="33"/>
            <w:lang w:eastAsia="it-IT"/>
          </w:rPr>
          <w:t>congiuntiva</w:t>
        </w:r>
      </w:hyperlink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formata con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che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Non era così lontano </w:t>
      </w: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che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non potesse sentire i nostri discorsi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Ho corso talmente tanto </w:t>
      </w: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che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mi è venuto il fiatone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Corri così veloce </w:t>
      </w: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che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chiunque si arrenderebbe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• Nelle consecutive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implicite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 il verbo è all’infinito, preceduto dalle preposizioni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da 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o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per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o da una locuzione congiuntiva formata con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di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Non è tanto furbo </w:t>
      </w: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da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mettere nel sacco anche me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lastRenderedPageBreak/>
        <w:t>È troppo piccolo </w:t>
      </w: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per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 viaggiare da solo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Sono stanco </w:t>
      </w:r>
      <w:r w:rsidRPr="00BB6800">
        <w:rPr>
          <w:rFonts w:ascii="Garamond" w:eastAsia="Times New Roman" w:hAnsi="Garamond" w:cs="Times New Roman"/>
          <w:b/>
          <w:bCs/>
          <w:color w:val="3E3F3E"/>
          <w:sz w:val="33"/>
          <w:lang w:eastAsia="it-IT"/>
        </w:rPr>
        <w:t>al punto di 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piangere per nulla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Di solito, nella reggente che precede una proposizione consecutiva si trova un elemento che la anticipa. Questo può essere: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– un avverbio: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così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talmente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 tanto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– un aggettivo: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tale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 simile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– una sequenza di un avverbio e un aggettivo: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così veloce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 tanto furbo</w:t>
      </w:r>
    </w:p>
    <w:p w:rsidR="00BB6800" w:rsidRPr="00BB6800" w:rsidRDefault="00BB6800" w:rsidP="00BB6800">
      <w:pPr>
        <w:shd w:val="clear" w:color="auto" w:fill="FAF9F6"/>
        <w:spacing w:after="450"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– una sequenza di due avverbi: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così tanto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 talmente tanto</w:t>
      </w:r>
    </w:p>
    <w:p w:rsidR="00BB6800" w:rsidRPr="00BB6800" w:rsidRDefault="00BB6800" w:rsidP="00BB6800">
      <w:pPr>
        <w:shd w:val="clear" w:color="auto" w:fill="FAF9F6"/>
        <w:spacing w:line="450" w:lineRule="atLeast"/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</w:pP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– un altro gruppo di parole: 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in modo tale</w:t>
      </w:r>
      <w:r w:rsidRPr="00BB6800">
        <w:rPr>
          <w:rFonts w:ascii="Garamond" w:eastAsia="Times New Roman" w:hAnsi="Garamond" w:cs="Times New Roman"/>
          <w:color w:val="3E3F3E"/>
          <w:sz w:val="33"/>
          <w:szCs w:val="33"/>
          <w:lang w:eastAsia="it-IT"/>
        </w:rPr>
        <w:t>,</w:t>
      </w:r>
      <w:r w:rsidRPr="00BB6800">
        <w:rPr>
          <w:rFonts w:ascii="Garamond" w:eastAsia="Times New Roman" w:hAnsi="Garamond" w:cs="Times New Roman"/>
          <w:i/>
          <w:iCs/>
          <w:color w:val="3E3F3E"/>
          <w:sz w:val="33"/>
          <w:lang w:eastAsia="it-IT"/>
        </w:rPr>
        <w:t> in maniera tale.</w:t>
      </w:r>
    </w:p>
    <w:p w:rsidR="00364727" w:rsidRDefault="00364727"/>
    <w:sectPr w:rsidR="00364727" w:rsidSect="003647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6A8"/>
    <w:multiLevelType w:val="multilevel"/>
    <w:tmpl w:val="522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B6800"/>
    <w:rsid w:val="00364727"/>
    <w:rsid w:val="00BB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4727"/>
  </w:style>
  <w:style w:type="paragraph" w:styleId="Titolo1">
    <w:name w:val="heading 1"/>
    <w:basedOn w:val="Normale"/>
    <w:link w:val="Titolo1Carattere"/>
    <w:uiPriority w:val="9"/>
    <w:qFormat/>
    <w:rsid w:val="00BB6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80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B680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B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B6800"/>
    <w:rPr>
      <w:b/>
      <w:bCs/>
    </w:rPr>
  </w:style>
  <w:style w:type="character" w:styleId="Enfasicorsivo">
    <w:name w:val="Emphasis"/>
    <w:basedOn w:val="Carpredefinitoparagrafo"/>
    <w:uiPriority w:val="20"/>
    <w:qFormat/>
    <w:rsid w:val="00BB68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3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8B8C8B"/>
            <w:right w:val="none" w:sz="0" w:space="0" w:color="auto"/>
          </w:divBdr>
          <w:divsChild>
            <w:div w:id="18486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71618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141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ccani.it/enciclopedia/congiunzioni-consecutive_(La_grammatica_italiana)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eccani.it/enciclopedia/proposizioni-subordinate_(La_grammatica_italiana)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harer/sharer.php?http://www.treccani.it/enciclopedia/proposizioni-consecutive_(La-grammatica-italiana)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witter.com/home?status=http://www.treccani.it/enciclopedia/proposizioni-consecutive_(La-grammatica-italiana)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eccani.it/enciclopedia/locuzioni-congiuntive_(La_grammatica_italiana)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2020-05-04T07:21:00Z</dcterms:created>
  <dcterms:modified xsi:type="dcterms:W3CDTF">2020-05-04T07:21:00Z</dcterms:modified>
</cp:coreProperties>
</file>