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47F1DC06" w:rsidR="002236FD" w:rsidRPr="00B52BC2" w:rsidRDefault="002236FD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Orientation &amp; Description of the Course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2CAB8B1A" w:rsidR="002236FD" w:rsidRPr="00B52BC2" w:rsidRDefault="00CF5107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The Anglo-Saxon Period (450-1066)</w:t>
            </w:r>
          </w:p>
        </w:tc>
      </w:tr>
      <w:tr w:rsidR="002236FD" w:rsidRPr="00B52BC2" w14:paraId="3FA64B8D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19B59C38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435A6" w14:textId="77777777" w:rsidR="00CF5107" w:rsidRPr="00CF5107" w:rsidRDefault="00CF5107" w:rsidP="00CF510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proofErr w:type="spellStart"/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Cædmon’s</w:t>
            </w:r>
            <w:proofErr w:type="spellEnd"/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Hymn”</w:t>
            </w:r>
          </w:p>
          <w:p w14:paraId="6736E2C3" w14:textId="186BE6EF" w:rsidR="002236FD" w:rsidRPr="00B52BC2" w:rsidRDefault="00CF5107" w:rsidP="00CF510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Epic Poetry: </w:t>
            </w:r>
            <w:r w:rsidRPr="00CF5107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Beowulf</w:t>
            </w:r>
          </w:p>
        </w:tc>
      </w:tr>
      <w:tr w:rsidR="00CF5107" w:rsidRPr="00B52BC2" w14:paraId="5B2604DF" w14:textId="77777777" w:rsidTr="00DC7227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5A9366C7" w14:textId="3F71D26B" w:rsidR="00CF5107" w:rsidRPr="00B52BC2" w:rsidRDefault="00CF5107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AC78B" w14:textId="0C05053F" w:rsidR="00CF5107" w:rsidRPr="00CF5107" w:rsidRDefault="00CF5107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Elegies: “The Wanderer,”</w:t>
            </w:r>
          </w:p>
        </w:tc>
      </w:tr>
      <w:tr w:rsidR="00CF5107" w:rsidRPr="00B52BC2" w14:paraId="4E808981" w14:textId="77777777" w:rsidTr="00DC7227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C95D5FF" w14:textId="77777777" w:rsidR="00CF5107" w:rsidRPr="00B52BC2" w:rsidRDefault="00CF5107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F828E" w14:textId="37A6ED92" w:rsidR="00CF5107" w:rsidRPr="00CF5107" w:rsidRDefault="00CF5107" w:rsidP="00CF510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>Battle Poetry</w:t>
            </w: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: “The Battle of Maldon”</w:t>
            </w:r>
          </w:p>
        </w:tc>
      </w:tr>
      <w:tr w:rsidR="002236FD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BAAF7C8" w14:textId="066EBAC4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1A5EF131" w:rsidR="002236FD" w:rsidRPr="00B52BC2" w:rsidRDefault="00CF5107" w:rsidP="003E4AC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Geoffrey Chaucer &amp; Frame Narrative</w:t>
            </w:r>
          </w:p>
        </w:tc>
      </w:tr>
      <w:tr w:rsidR="002236FD" w:rsidRPr="00B52BC2" w14:paraId="781DDA73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2325F63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2204D" w14:textId="4FF12A25" w:rsidR="002236FD" w:rsidRPr="00B52BC2" w:rsidRDefault="00CF5107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“The General Prologue” of The Canterbury Tales</w:t>
            </w:r>
          </w:p>
        </w:tc>
      </w:tr>
      <w:tr w:rsidR="002236FD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5BECFBE9" w:rsidR="002236FD" w:rsidRPr="00B52BC2" w:rsidRDefault="00CF5107" w:rsidP="00505A7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Romance Genre</w:t>
            </w:r>
          </w:p>
        </w:tc>
      </w:tr>
      <w:tr w:rsidR="002236FD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332538E4" w:rsidR="002236FD" w:rsidRPr="00B52BC2" w:rsidRDefault="00CF5107" w:rsidP="00CF5107">
            <w:pPr>
              <w:pStyle w:val="OkumaParas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Sir Gawain and the Green Knight</w:t>
            </w:r>
          </w:p>
        </w:tc>
      </w:tr>
      <w:tr w:rsidR="00016DEB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076B8C87" w:rsidR="00016DEB" w:rsidRPr="00CF5107" w:rsidRDefault="00CF5107" w:rsidP="00CE67B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Allegory &amp; Dream Vision:</w:t>
            </w:r>
          </w:p>
        </w:tc>
      </w:tr>
      <w:tr w:rsidR="00016DEB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52574E62" w:rsidR="00016DEB" w:rsidRPr="00CF5107" w:rsidRDefault="00C05C99" w:rsidP="00CF5107">
            <w:pPr>
              <w:pStyle w:val="OkumaParas"/>
              <w:numPr>
                <w:ilvl w:val="0"/>
                <w:numId w:val="3"/>
              </w:numPr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iCs/>
                <w:sz w:val="20"/>
                <w:szCs w:val="20"/>
                <w:lang w:val="en-GB"/>
              </w:rPr>
              <w:t>William Langland’s</w:t>
            </w:r>
            <w:r w:rsidRPr="00C05C99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 xml:space="preserve"> </w:t>
            </w:r>
            <w:r w:rsidRPr="00C05C99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Piers Plowman</w:t>
            </w:r>
          </w:p>
        </w:tc>
      </w:tr>
      <w:tr w:rsidR="00CF5107" w:rsidRPr="00B52BC2" w14:paraId="75896B63" w14:textId="77777777" w:rsidTr="00F83AA5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7B0D9B2" w14:textId="225F8574" w:rsidR="00CF5107" w:rsidRPr="00B52BC2" w:rsidRDefault="00CF510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4AC897" w14:textId="1CF8313A" w:rsidR="00C05C99" w:rsidRDefault="00C05C99" w:rsidP="00707FDB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Medieval Drama:</w:t>
            </w:r>
          </w:p>
          <w:p w14:paraId="469C4ED7" w14:textId="30912BD1" w:rsidR="00CF5107" w:rsidRPr="00B52BC2" w:rsidRDefault="00C05C99" w:rsidP="00707FDB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Mystery Plays:</w:t>
            </w: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from </w:t>
            </w:r>
            <w:r w:rsidRPr="00CF5107">
              <w:rPr>
                <w:rFonts w:ascii="Bookman Old Style" w:hAnsi="Bookman Old Style"/>
                <w:b w:val="0"/>
                <w:bCs/>
                <w:i/>
                <w:sz w:val="20"/>
                <w:szCs w:val="20"/>
                <w:lang w:val="en-GB"/>
              </w:rPr>
              <w:t>The</w:t>
            </w:r>
            <w:r w:rsidRPr="00CF5107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 xml:space="preserve"> </w:t>
            </w:r>
            <w:r w:rsidRPr="00CF5107">
              <w:rPr>
                <w:rFonts w:ascii="Bookman Old Style" w:hAnsi="Bookman Old Style"/>
                <w:b w:val="0"/>
                <w:bCs/>
                <w:i/>
                <w:sz w:val="20"/>
                <w:szCs w:val="20"/>
                <w:lang w:val="en-GB"/>
              </w:rPr>
              <w:t>Wakefield Second Shepherds' Play</w:t>
            </w:r>
          </w:p>
        </w:tc>
      </w:tr>
      <w:tr w:rsidR="00C05C99" w:rsidRPr="00B52BC2" w14:paraId="536049A3" w14:textId="77777777" w:rsidTr="00A562CE">
        <w:trPr>
          <w:cantSplit/>
          <w:trHeight w:val="712"/>
          <w:jc w:val="center"/>
        </w:trPr>
        <w:tc>
          <w:tcPr>
            <w:tcW w:w="1155" w:type="dxa"/>
            <w:vAlign w:val="center"/>
          </w:tcPr>
          <w:p w14:paraId="542419E4" w14:textId="7ADB9B6E" w:rsidR="00C05C99" w:rsidRPr="00B52BC2" w:rsidRDefault="00C05C99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right w:val="single" w:sz="4" w:space="0" w:color="auto"/>
            </w:tcBorders>
            <w:vAlign w:val="center"/>
          </w:tcPr>
          <w:p w14:paraId="08021806" w14:textId="48EF6E66" w:rsidR="00C05C99" w:rsidRPr="00CF5107" w:rsidRDefault="00C05C99" w:rsidP="00CF5107">
            <w:pPr>
              <w:pStyle w:val="OkumaParas"/>
              <w:numPr>
                <w:ilvl w:val="0"/>
                <w:numId w:val="3"/>
              </w:numP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Morality Plays: </w:t>
            </w:r>
            <w:r w:rsidRPr="00CF5107">
              <w:rPr>
                <w:rFonts w:ascii="Bookman Old Style" w:hAnsi="Bookman Old Style"/>
                <w:b/>
                <w:i/>
                <w:sz w:val="20"/>
                <w:szCs w:val="20"/>
                <w:lang w:val="en-GB"/>
              </w:rPr>
              <w:t>Everyman</w:t>
            </w:r>
          </w:p>
        </w:tc>
      </w:tr>
      <w:tr w:rsidR="003E4AC7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3E4AC7" w:rsidRPr="00B52BC2" w:rsidRDefault="00B52BC2" w:rsidP="00B52BC2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EE3D6" w14:textId="77777777" w:rsidR="003E4AC7" w:rsidRDefault="00C05C99" w:rsidP="00C05C99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Medieval Prose</w:t>
            </w:r>
          </w:p>
          <w:p w14:paraId="56FD8807" w14:textId="3BE8C33C" w:rsidR="00C05C99" w:rsidRPr="00C05C99" w:rsidRDefault="00C05C99" w:rsidP="00C05C99">
            <w:pPr>
              <w:pStyle w:val="Konu-basligi"/>
              <w:numPr>
                <w:ilvl w:val="0"/>
                <w:numId w:val="3"/>
              </w:numP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Arthurian Legends</w:t>
            </w:r>
          </w:p>
          <w:p w14:paraId="7FE55C02" w14:textId="57585B1E" w:rsidR="00C05C99" w:rsidRPr="00B52BC2" w:rsidRDefault="00C05C99" w:rsidP="00C05C99">
            <w:pPr>
              <w:pStyle w:val="Konu-basligi"/>
              <w:numPr>
                <w:ilvl w:val="0"/>
                <w:numId w:val="3"/>
              </w:numP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Sir Thomas Malory: from </w:t>
            </w:r>
            <w:proofErr w:type="spellStart"/>
            <w:r w:rsidRPr="00C05C9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Morte</w:t>
            </w:r>
            <w:proofErr w:type="spellEnd"/>
            <w:r w:rsidRPr="00C05C9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05C99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D’Arthur</w:t>
            </w:r>
            <w:proofErr w:type="spellEnd"/>
          </w:p>
        </w:tc>
      </w:tr>
      <w:tr w:rsidR="003E4AC7" w:rsidRPr="00B52BC2" w14:paraId="602553A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FAE05E" w14:textId="2B5A04D4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897DF" w14:textId="77777777" w:rsidR="00C05C99" w:rsidRPr="00CF5107" w:rsidRDefault="00C05C99" w:rsidP="00C05C99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The Elizabethan Age (The Renaissance 1485-1625)</w:t>
            </w:r>
          </w:p>
          <w:p w14:paraId="62E71A87" w14:textId="77777777" w:rsidR="00C05C99" w:rsidRPr="00CF5107" w:rsidRDefault="00C05C99" w:rsidP="00C05C99">
            <w:pPr>
              <w:pStyle w:val="Konu-basligi"/>
              <w:numPr>
                <w:ilvl w:val="0"/>
                <w:numId w:val="7"/>
              </w:numP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Elizabethan Poetry: Sonnet Form</w:t>
            </w:r>
          </w:p>
          <w:p w14:paraId="56F1A90C" w14:textId="77777777" w:rsidR="00C05C99" w:rsidRPr="00CF5107" w:rsidRDefault="00C05C99" w:rsidP="00C05C99">
            <w:pPr>
              <w:pStyle w:val="Konu-basligi"/>
              <w:numPr>
                <w:ilvl w:val="0"/>
                <w:numId w:val="7"/>
              </w:numP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Sir Philip Sidney: from </w:t>
            </w:r>
            <w:proofErr w:type="spellStart"/>
            <w:r w:rsidRPr="00CF5107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Astrophil</w:t>
            </w:r>
            <w:proofErr w:type="spellEnd"/>
            <w:r w:rsidRPr="00CF5107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 xml:space="preserve"> and Stella</w:t>
            </w:r>
          </w:p>
          <w:p w14:paraId="597E5F92" w14:textId="0FEF22CE" w:rsidR="003E4AC7" w:rsidRPr="007B4F8F" w:rsidRDefault="00C05C99" w:rsidP="00C05C99">
            <w:pPr>
              <w:pStyle w:val="OkumaParas"/>
              <w:numPr>
                <w:ilvl w:val="0"/>
                <w:numId w:val="7"/>
              </w:numPr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Edmund Spenser:</w:t>
            </w:r>
            <w:r w:rsidRPr="00CF510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‎</w:t>
            </w: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from </w:t>
            </w:r>
            <w:r w:rsidRPr="00CF5107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 xml:space="preserve">The Faerie </w:t>
            </w:r>
            <w:proofErr w:type="spellStart"/>
            <w:r w:rsidRPr="00CF5107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Queene</w:t>
            </w:r>
            <w:proofErr w:type="spellEnd"/>
          </w:p>
        </w:tc>
      </w:tr>
      <w:tr w:rsidR="00CF5107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499C6BE9" w14:textId="634CA396" w:rsidR="00CF5107" w:rsidRPr="00B52BC2" w:rsidRDefault="00CF510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F67" w14:textId="77777777" w:rsidR="00CF5107" w:rsidRPr="00CF5107" w:rsidRDefault="00CF5107" w:rsidP="00CF510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Pastoral Poems:</w:t>
            </w:r>
          </w:p>
          <w:p w14:paraId="746E9134" w14:textId="77777777" w:rsidR="00CF5107" w:rsidRPr="00CF5107" w:rsidRDefault="00CF5107" w:rsidP="00CF5107">
            <w:pPr>
              <w:pStyle w:val="OkumaParas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The Passionate Shepherd to His Love”</w:t>
            </w:r>
          </w:p>
          <w:p w14:paraId="10E49733" w14:textId="50C58056" w:rsidR="00CF5107" w:rsidRPr="00C05C99" w:rsidRDefault="00CF5107" w:rsidP="00C05C99">
            <w:pPr>
              <w:pStyle w:val="Konu-basligi"/>
              <w:numPr>
                <w:ilvl w:val="0"/>
                <w:numId w:val="7"/>
              </w:numPr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</w:pPr>
            <w:r w:rsidRPr="00C05C99">
              <w:rPr>
                <w:rFonts w:ascii="Bookman Old Style" w:hAnsi="Bookman Old Style"/>
                <w:b w:val="0"/>
                <w:bCs/>
                <w:sz w:val="20"/>
                <w:szCs w:val="20"/>
                <w:lang w:val="en-GB"/>
              </w:rPr>
              <w:t>“The Nymph’s Reply to the Shepherd”</w:t>
            </w:r>
          </w:p>
        </w:tc>
      </w:tr>
      <w:tr w:rsidR="00C05C99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C05C99" w:rsidRPr="00B52BC2" w:rsidRDefault="00C05C99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5DC89468" w:rsidR="00C05C99" w:rsidRPr="007B4F8F" w:rsidRDefault="00C05C99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Renaissance Drama</w:t>
            </w:r>
          </w:p>
        </w:tc>
      </w:tr>
      <w:tr w:rsidR="00C05C99" w:rsidRPr="00B52BC2" w14:paraId="075C1AFE" w14:textId="77777777" w:rsidTr="00ED6FAC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C05C99" w:rsidRPr="00B52BC2" w:rsidRDefault="00C05C99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3124C2" w14:textId="72F233EB" w:rsidR="00C05C99" w:rsidRPr="00B52BC2" w:rsidRDefault="00C05C99" w:rsidP="00C05C99">
            <w:pPr>
              <w:pStyle w:val="OkumaParas"/>
              <w:numPr>
                <w:ilvl w:val="0"/>
                <w:numId w:val="9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Christopher Marlowe: from </w:t>
            </w:r>
            <w:r w:rsidRPr="00CF5107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Doctor Faustus</w:t>
            </w:r>
          </w:p>
        </w:tc>
      </w:tr>
      <w:tr w:rsidR="00134AAE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53DD39CB" w:rsidR="00134AAE" w:rsidRPr="007B4F8F" w:rsidRDefault="00134AAE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Metaphysical Poets</w:t>
            </w:r>
          </w:p>
        </w:tc>
      </w:tr>
      <w:tr w:rsidR="00134AAE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68FF0F0A" w:rsidR="00134AAE" w:rsidRPr="00B52BC2" w:rsidRDefault="00134AAE" w:rsidP="00CF51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CF5107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John Donne: “The Flea” and “The Good Morrow”</w:t>
            </w:r>
          </w:p>
        </w:tc>
      </w:tr>
      <w:tr w:rsidR="00134AAE" w:rsidRPr="00B52BC2" w14:paraId="0D5EBA9A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0669E829" w14:textId="77777777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C192E" w14:textId="62D99BF2" w:rsidR="00134AAE" w:rsidRPr="00B52BC2" w:rsidRDefault="00134AAE" w:rsidP="00CF51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134AAE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134AAE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Andrew Marvel “To His Coy Mistress”</w:t>
            </w:r>
          </w:p>
        </w:tc>
      </w:tr>
      <w:tr w:rsidR="00134AAE" w:rsidRPr="00B52BC2" w14:paraId="1E81B77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02C49A04" w14:textId="64DACF5B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53291" w14:textId="568D1E5C" w:rsidR="00134AAE" w:rsidRPr="007B4F8F" w:rsidRDefault="00134AAE" w:rsidP="00CF510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134AAE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Renaissance Prose</w:t>
            </w:r>
          </w:p>
        </w:tc>
      </w:tr>
      <w:tr w:rsidR="00134AAE" w:rsidRPr="00B52BC2" w14:paraId="161EBAB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C2299E" w14:textId="77777777" w:rsidR="00134AAE" w:rsidRPr="00B52BC2" w:rsidRDefault="00134AAE" w:rsidP="00CF5107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9A6" w14:textId="14DA35B0" w:rsidR="00134AAE" w:rsidRPr="00B52BC2" w:rsidRDefault="00134AAE" w:rsidP="00CF51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134AAE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134AAE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Francis Bacon: “Of Studies”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134AAE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27D"/>
    <w:multiLevelType w:val="hybridMultilevel"/>
    <w:tmpl w:val="7484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262"/>
    <w:multiLevelType w:val="hybridMultilevel"/>
    <w:tmpl w:val="243A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D37"/>
    <w:multiLevelType w:val="hybridMultilevel"/>
    <w:tmpl w:val="0226E86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59D014C"/>
    <w:multiLevelType w:val="hybridMultilevel"/>
    <w:tmpl w:val="AF8641A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42913B0"/>
    <w:multiLevelType w:val="hybridMultilevel"/>
    <w:tmpl w:val="0DCCA72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64D2E68"/>
    <w:multiLevelType w:val="hybridMultilevel"/>
    <w:tmpl w:val="21AC4F9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7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FB429D6"/>
    <w:multiLevelType w:val="hybridMultilevel"/>
    <w:tmpl w:val="4074F2D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34145854">
    <w:abstractNumId w:val="6"/>
  </w:num>
  <w:num w:numId="2" w16cid:durableId="2108773500">
    <w:abstractNumId w:val="7"/>
  </w:num>
  <w:num w:numId="3" w16cid:durableId="642538009">
    <w:abstractNumId w:val="3"/>
  </w:num>
  <w:num w:numId="4" w16cid:durableId="1924028476">
    <w:abstractNumId w:val="0"/>
  </w:num>
  <w:num w:numId="5" w16cid:durableId="709039308">
    <w:abstractNumId w:val="1"/>
  </w:num>
  <w:num w:numId="6" w16cid:durableId="1188718416">
    <w:abstractNumId w:val="2"/>
  </w:num>
  <w:num w:numId="7" w16cid:durableId="1334214108">
    <w:abstractNumId w:val="4"/>
  </w:num>
  <w:num w:numId="8" w16cid:durableId="1090275488">
    <w:abstractNumId w:val="8"/>
  </w:num>
  <w:num w:numId="9" w16cid:durableId="1607690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0B7E3F"/>
    <w:rsid w:val="00134AAE"/>
    <w:rsid w:val="001376AB"/>
    <w:rsid w:val="0017260E"/>
    <w:rsid w:val="002236FD"/>
    <w:rsid w:val="00264992"/>
    <w:rsid w:val="00385256"/>
    <w:rsid w:val="003B48EB"/>
    <w:rsid w:val="003E4AC7"/>
    <w:rsid w:val="003E7919"/>
    <w:rsid w:val="004B6C59"/>
    <w:rsid w:val="00707FDB"/>
    <w:rsid w:val="00727817"/>
    <w:rsid w:val="0077090C"/>
    <w:rsid w:val="007B4F8F"/>
    <w:rsid w:val="007E1EC1"/>
    <w:rsid w:val="00832BE3"/>
    <w:rsid w:val="00A83607"/>
    <w:rsid w:val="00B05270"/>
    <w:rsid w:val="00B52BC2"/>
    <w:rsid w:val="00C05C99"/>
    <w:rsid w:val="00C61E30"/>
    <w:rsid w:val="00CA5874"/>
    <w:rsid w:val="00CC2B36"/>
    <w:rsid w:val="00CE1F0E"/>
    <w:rsid w:val="00CF5107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4</cp:revision>
  <dcterms:created xsi:type="dcterms:W3CDTF">2022-06-29T07:03:00Z</dcterms:created>
  <dcterms:modified xsi:type="dcterms:W3CDTF">2022-06-29T07:11:00Z</dcterms:modified>
</cp:coreProperties>
</file>