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9E4" w:rsidRPr="008C29E4" w:rsidRDefault="008C29E4" w:rsidP="008C29E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8C29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Bellini, </w:t>
      </w:r>
      <w:proofErr w:type="spellStart"/>
      <w:r w:rsidRPr="008C29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Vincenzo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-TRECCANI</w:t>
      </w:r>
    </w:p>
    <w:p w:rsidR="008C29E4" w:rsidRPr="008C29E4" w:rsidRDefault="008C29E4" w:rsidP="008C29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3486150" cy="4648200"/>
            <wp:effectExtent l="19050" t="0" r="0" b="0"/>
            <wp:docPr id="2" name="Resim 2" descr="https://images.treccani.it/ext-tool/extra/thumbs_medium/d/dc/dca60d56566f9e6f0d56a76b17f424fe.jpg">
              <a:hlinkClick xmlns:a="http://schemas.openxmlformats.org/drawingml/2006/main" r:id="rId5" tooltip="&quot;Vedi immagine original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s.treccani.it/ext-tool/extra/thumbs_medium/d/dc/dca60d56566f9e6f0d56a76b17f424fe.jpg">
                      <a:hlinkClick r:id="rId5" tooltip="&quot;Vedi immagine original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464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9E4" w:rsidRPr="008C29E4" w:rsidRDefault="008C29E4" w:rsidP="008C29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Musicista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Catania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1801 -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Puteaux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Parigi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, 1835). </w:t>
      </w:r>
    </w:p>
    <w:p w:rsidR="008C29E4" w:rsidRDefault="008C29E4" w:rsidP="008C29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Figlio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d'un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organista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e maestro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cembalo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, fu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avviato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dal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padre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allo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studio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della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proofErr w:type="spellStart"/>
        <w:r w:rsidRPr="008C29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musica</w:t>
        </w:r>
        <w:proofErr w:type="spellEnd"/>
      </w:hyperlink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: a sette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anni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già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componeva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tra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l'altro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, un </w:t>
      </w:r>
      <w:proofErr w:type="spellStart"/>
      <w:r w:rsidRPr="008C29E4">
        <w:rPr>
          <w:rFonts w:ascii="Times New Roman" w:eastAsia="Times New Roman" w:hAnsi="Times New Roman" w:cs="Times New Roman"/>
          <w:i/>
          <w:iCs/>
          <w:sz w:val="24"/>
          <w:szCs w:val="24"/>
        </w:rPr>
        <w:t>Tantum</w:t>
      </w:r>
      <w:proofErr w:type="spellEnd"/>
      <w:r w:rsidRPr="008C29E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i/>
          <w:iCs/>
          <w:sz w:val="24"/>
          <w:szCs w:val="24"/>
        </w:rPr>
        <w:t>ergo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e un </w:t>
      </w:r>
      <w:proofErr w:type="spellStart"/>
      <w:r w:rsidRPr="008C29E4">
        <w:rPr>
          <w:rFonts w:ascii="Times New Roman" w:eastAsia="Times New Roman" w:hAnsi="Times New Roman" w:cs="Times New Roman"/>
          <w:i/>
          <w:iCs/>
          <w:sz w:val="24"/>
          <w:szCs w:val="24"/>
        </w:rPr>
        <w:t>Salve</w:t>
      </w:r>
      <w:proofErr w:type="spellEnd"/>
      <w:r w:rsidRPr="008C29E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i/>
          <w:iCs/>
          <w:sz w:val="24"/>
          <w:szCs w:val="24"/>
        </w:rPr>
        <w:t>Regina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Diciottenne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, si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recò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a Napoli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ove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completò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in tre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anni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suoi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con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G.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Furno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, C.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Conti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, G.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Tritto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e N.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Zingarelli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Appartengono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questo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periodo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sei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sinfonie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all'italiana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ossia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in un solo tempo),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due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messe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, una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cantata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varie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romanze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Nel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1825, al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teatrino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hyperlink r:id="rId8" w:history="1">
        <w:proofErr w:type="spellStart"/>
        <w:r w:rsidRPr="008C29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conservatorio</w:t>
        </w:r>
        <w:proofErr w:type="spellEnd"/>
      </w:hyperlink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S.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Sebastiano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, il B.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diede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sua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prima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opera, </w:t>
      </w:r>
      <w:proofErr w:type="spellStart"/>
      <w:r w:rsidRPr="008C29E4">
        <w:rPr>
          <w:rFonts w:ascii="Times New Roman" w:eastAsia="Times New Roman" w:hAnsi="Times New Roman" w:cs="Times New Roman"/>
          <w:i/>
          <w:iCs/>
          <w:sz w:val="24"/>
          <w:szCs w:val="24"/>
        </w:rPr>
        <w:t>Adelson</w:t>
      </w:r>
      <w:proofErr w:type="spellEnd"/>
      <w:r w:rsidRPr="008C29E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e </w:t>
      </w:r>
      <w:proofErr w:type="spellStart"/>
      <w:r w:rsidRPr="008C29E4">
        <w:rPr>
          <w:rFonts w:ascii="Times New Roman" w:eastAsia="Times New Roman" w:hAnsi="Times New Roman" w:cs="Times New Roman"/>
          <w:i/>
          <w:iCs/>
          <w:sz w:val="24"/>
          <w:szCs w:val="24"/>
        </w:rPr>
        <w:t>Salvini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, e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nel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1826, al S.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Carlo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seconda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C29E4">
        <w:rPr>
          <w:rFonts w:ascii="Times New Roman" w:eastAsia="Times New Roman" w:hAnsi="Times New Roman" w:cs="Times New Roman"/>
          <w:i/>
          <w:iCs/>
          <w:sz w:val="24"/>
          <w:szCs w:val="24"/>
        </w:rPr>
        <w:t>Bianca</w:t>
      </w:r>
      <w:proofErr w:type="spellEnd"/>
      <w:r w:rsidRPr="008C29E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e </w:t>
      </w:r>
      <w:proofErr w:type="spellStart"/>
      <w:r w:rsidRPr="008C29E4">
        <w:rPr>
          <w:rFonts w:ascii="Times New Roman" w:eastAsia="Times New Roman" w:hAnsi="Times New Roman" w:cs="Times New Roman"/>
          <w:i/>
          <w:iCs/>
          <w:sz w:val="24"/>
          <w:szCs w:val="24"/>
        </w:rPr>
        <w:t>Fernando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Nel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1827 un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nuovo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lavoro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commissionatogli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dall'impresario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Barbaia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per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Scala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Milano, </w:t>
      </w:r>
      <w:proofErr w:type="spellStart"/>
      <w:r w:rsidRPr="008C29E4">
        <w:rPr>
          <w:rFonts w:ascii="Times New Roman" w:eastAsia="Times New Roman" w:hAnsi="Times New Roman" w:cs="Times New Roman"/>
          <w:i/>
          <w:iCs/>
          <w:sz w:val="24"/>
          <w:szCs w:val="24"/>
        </w:rPr>
        <w:t>Il</w:t>
      </w:r>
      <w:proofErr w:type="spellEnd"/>
      <w:r w:rsidRPr="008C29E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i/>
          <w:iCs/>
          <w:sz w:val="24"/>
          <w:szCs w:val="24"/>
        </w:rPr>
        <w:t>Pirata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(su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testo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F.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Romani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che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gli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divenne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fraterno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amico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collaboratore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suscitò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entusiasmo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negli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ambienti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milanesi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Nel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1828 si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riprese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Genova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i/>
          <w:iCs/>
          <w:sz w:val="24"/>
          <w:szCs w:val="24"/>
        </w:rPr>
        <w:t>Bianca</w:t>
      </w:r>
      <w:proofErr w:type="spellEnd"/>
      <w:r w:rsidRPr="008C29E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e </w:t>
      </w:r>
      <w:proofErr w:type="spellStart"/>
      <w:r w:rsidRPr="008C29E4">
        <w:rPr>
          <w:rFonts w:ascii="Times New Roman" w:eastAsia="Times New Roman" w:hAnsi="Times New Roman" w:cs="Times New Roman"/>
          <w:i/>
          <w:iCs/>
          <w:sz w:val="24"/>
          <w:szCs w:val="24"/>
        </w:rPr>
        <w:t>Fernando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rielaborata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) e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anche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questa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ottenne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grande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plauso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come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poi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(1829) una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nuova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opera, su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testo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Romani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C29E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La </w:t>
      </w:r>
      <w:proofErr w:type="spellStart"/>
      <w:r w:rsidRPr="008C29E4">
        <w:rPr>
          <w:rFonts w:ascii="Times New Roman" w:eastAsia="Times New Roman" w:hAnsi="Times New Roman" w:cs="Times New Roman"/>
          <w:i/>
          <w:iCs/>
          <w:sz w:val="24"/>
          <w:szCs w:val="24"/>
        </w:rPr>
        <w:t>Straniera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, al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teatro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alla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Scala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C29E4" w:rsidRDefault="008C29E4" w:rsidP="008C29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29E4" w:rsidRDefault="008C29E4" w:rsidP="008C29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29E4" w:rsidRDefault="008C29E4" w:rsidP="008C29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29E4" w:rsidRPr="008C29E4" w:rsidRDefault="008C29E4" w:rsidP="008C29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lastRenderedPageBreak/>
        <w:t>Cominciarono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per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lui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gli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onori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ma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anche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le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invidie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le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calunnie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Disgraziatamente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egli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stesso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sembrò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giustificarle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dando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(1829 a Parma) una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affrettata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i/>
          <w:iCs/>
          <w:sz w:val="24"/>
          <w:szCs w:val="24"/>
        </w:rPr>
        <w:t>Zaira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testo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Romani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condannata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dal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pubblico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. La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rivincita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venne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subito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con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29E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 </w:t>
      </w:r>
      <w:proofErr w:type="spellStart"/>
      <w:r w:rsidRPr="008C29E4">
        <w:rPr>
          <w:rFonts w:ascii="Times New Roman" w:eastAsia="Times New Roman" w:hAnsi="Times New Roman" w:cs="Times New Roman"/>
          <w:i/>
          <w:iCs/>
          <w:sz w:val="24"/>
          <w:szCs w:val="24"/>
        </w:rPr>
        <w:t>Capuleti</w:t>
      </w:r>
      <w:proofErr w:type="spellEnd"/>
      <w:r w:rsidRPr="008C29E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e i </w:t>
      </w:r>
      <w:proofErr w:type="spellStart"/>
      <w:r w:rsidRPr="008C29E4">
        <w:rPr>
          <w:rFonts w:ascii="Times New Roman" w:eastAsia="Times New Roman" w:hAnsi="Times New Roman" w:cs="Times New Roman"/>
          <w:i/>
          <w:iCs/>
          <w:sz w:val="24"/>
          <w:szCs w:val="24"/>
        </w:rPr>
        <w:t>Montecchi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Venezia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, 1830), e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soprattutto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con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29E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La </w:t>
      </w:r>
      <w:proofErr w:type="spellStart"/>
      <w:r w:rsidRPr="008C29E4">
        <w:rPr>
          <w:rFonts w:ascii="Times New Roman" w:eastAsia="Times New Roman" w:hAnsi="Times New Roman" w:cs="Times New Roman"/>
          <w:i/>
          <w:iCs/>
          <w:sz w:val="24"/>
          <w:szCs w:val="24"/>
        </w:rPr>
        <w:t>Sonnambula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rappresentata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nel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1831 al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Carcano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Milano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con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esito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trionfale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. Un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insuccesso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invece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ebbe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hyperlink r:id="rId9" w:history="1">
        <w:r w:rsidRPr="008C29E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Norma</w:t>
        </w:r>
      </w:hyperlink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sempre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su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testo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Romani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composta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rappresentata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nel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1831 alla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scala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ma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l'opera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fu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poi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accolta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con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entusiasmo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a Milano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stessa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Bergamo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ecc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Seguì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(1833) alla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Fenice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Venezia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con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scarso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successo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8C29E4">
        <w:rPr>
          <w:rFonts w:ascii="Times New Roman" w:eastAsia="Times New Roman" w:hAnsi="Times New Roman" w:cs="Times New Roman"/>
          <w:i/>
          <w:iCs/>
          <w:sz w:val="24"/>
          <w:szCs w:val="24"/>
        </w:rPr>
        <w:t>Beatrice</w:t>
      </w:r>
      <w:proofErr w:type="spellEnd"/>
      <w:r w:rsidRPr="008C29E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i/>
          <w:iCs/>
          <w:sz w:val="24"/>
          <w:szCs w:val="24"/>
        </w:rPr>
        <w:t>di</w:t>
      </w:r>
      <w:proofErr w:type="spellEnd"/>
      <w:r w:rsidRPr="008C29E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i/>
          <w:iCs/>
          <w:sz w:val="24"/>
          <w:szCs w:val="24"/>
        </w:rPr>
        <w:t>Tenda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Nel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1833 il B. fu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invitato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dirigere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sue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opere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a Londra e a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Parigi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. A Londra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trionfò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r w:rsidRPr="008C29E4">
        <w:rPr>
          <w:rFonts w:ascii="Times New Roman" w:eastAsia="Times New Roman" w:hAnsi="Times New Roman" w:cs="Times New Roman"/>
          <w:i/>
          <w:iCs/>
          <w:sz w:val="24"/>
          <w:szCs w:val="24"/>
        </w:rPr>
        <w:t>Norma</w:t>
      </w:r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; a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Parigi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(1834),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le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sue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opere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furono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applauditissime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e il B.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vi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godé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un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breve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momento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felicità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l'amore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Maria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Malibran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l'amicizia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e la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stima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dei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maggiori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artisti e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poeti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tra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quali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G.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Rossini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e H.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Heine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). A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Puteaux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(1834),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con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meditata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lentezza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compose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8C29E4">
        <w:rPr>
          <w:rFonts w:ascii="Times New Roman" w:eastAsia="Times New Roman" w:hAnsi="Times New Roman" w:cs="Times New Roman"/>
          <w:i/>
          <w:iCs/>
          <w:sz w:val="24"/>
          <w:szCs w:val="24"/>
        </w:rPr>
        <w:t>Puritani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, su libretto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C.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Pepoli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rappresentata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Théâtre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italien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Parigi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nel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1835,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con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esito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trionfale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Otto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mesi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dopo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B.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moriva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Arte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più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lirica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che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drammatica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quella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del B., dalla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linea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melodica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pura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limpida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spoglia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estrinseche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complessità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dove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le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armonie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, i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contrappunti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gli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effetti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strumentali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hanno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valore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soltanto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funzione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 del </w:t>
      </w:r>
      <w:proofErr w:type="spellStart"/>
      <w:r w:rsidRPr="008C29E4">
        <w:rPr>
          <w:rFonts w:ascii="Times New Roman" w:eastAsia="Times New Roman" w:hAnsi="Times New Roman" w:cs="Times New Roman"/>
          <w:sz w:val="24"/>
          <w:szCs w:val="24"/>
        </w:rPr>
        <w:t>canto</w:t>
      </w:r>
      <w:proofErr w:type="spellEnd"/>
      <w:r w:rsidRPr="008C29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67E0A" w:rsidRDefault="00D67E0A"/>
    <w:sectPr w:rsidR="00D67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47FC8"/>
    <w:multiLevelType w:val="multilevel"/>
    <w:tmpl w:val="2856D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8C29E4"/>
    <w:rsid w:val="008C29E4"/>
    <w:rsid w:val="00D67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8C29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C29E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Kpr">
    <w:name w:val="Hyperlink"/>
    <w:basedOn w:val="VarsaylanParagrafYazTipi"/>
    <w:uiPriority w:val="99"/>
    <w:semiHidden/>
    <w:unhideWhenUsed/>
    <w:rsid w:val="008C29E4"/>
    <w:rPr>
      <w:color w:val="0000FF"/>
      <w:u w:val="single"/>
    </w:rPr>
  </w:style>
  <w:style w:type="character" w:customStyle="1" w:styleId="adv-text">
    <w:name w:val="adv-text"/>
    <w:basedOn w:val="VarsaylanParagrafYazTipi"/>
    <w:rsid w:val="008C29E4"/>
  </w:style>
  <w:style w:type="paragraph" w:styleId="NormalWeb">
    <w:name w:val="Normal (Web)"/>
    <w:basedOn w:val="Normal"/>
    <w:uiPriority w:val="99"/>
    <w:semiHidden/>
    <w:unhideWhenUsed/>
    <w:rsid w:val="008C2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C2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29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0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9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7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0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0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eccani.it/enciclopedia/conservatori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reccani.it/enciclopedia/musi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images.treccani.it/ext-tool/extra/images/d/dc/dca60d56566f9e6f0d56a76b17f424fe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reccani.it/enciclopedia/norma_res-1393fbf5-76a7-11e6-9672-00271042e8d9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2256</Characters>
  <Application>Microsoft Office Word</Application>
  <DocSecurity>0</DocSecurity>
  <Lines>18</Lines>
  <Paragraphs>5</Paragraphs>
  <ScaleCrop>false</ScaleCrop>
  <Company>NouS/TncTR</Company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2022-08-24T08:46:00Z</dcterms:created>
  <dcterms:modified xsi:type="dcterms:W3CDTF">2022-08-24T08:47:00Z</dcterms:modified>
</cp:coreProperties>
</file>