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15" w:rsidRDefault="000E6815" w:rsidP="00F521F0">
      <w:pPr>
        <w:autoSpaceDE w:val="0"/>
        <w:autoSpaceDN w:val="0"/>
        <w:adjustRightInd w:val="0"/>
        <w:spacing w:before="120" w:line="240" w:lineRule="auto"/>
        <w:jc w:val="both"/>
        <w:rPr>
          <w:rFonts w:ascii="Arial Black" w:hAnsi="Arial Black"/>
          <w:i/>
          <w:iCs/>
          <w:sz w:val="24"/>
          <w:szCs w:val="24"/>
          <w:u w:val="single"/>
        </w:rPr>
      </w:pPr>
      <w:bookmarkStart w:id="0" w:name="_GoBack"/>
      <w:bookmarkEnd w:id="0"/>
      <w:r w:rsidRPr="000E6815">
        <w:rPr>
          <w:rFonts w:ascii="Arial Black" w:hAnsi="Arial Black"/>
          <w:b/>
          <w:iCs/>
          <w:sz w:val="28"/>
          <w:szCs w:val="28"/>
        </w:rPr>
        <w:t>SİGORTACILIKTA RİSK YÖNETİMİ-</w:t>
      </w:r>
    </w:p>
    <w:p w:rsidR="000E6815" w:rsidRPr="000E6815" w:rsidRDefault="000E6815" w:rsidP="00F521F0">
      <w:pPr>
        <w:autoSpaceDE w:val="0"/>
        <w:autoSpaceDN w:val="0"/>
        <w:adjustRightInd w:val="0"/>
        <w:spacing w:before="120" w:line="240" w:lineRule="auto"/>
        <w:jc w:val="both"/>
        <w:rPr>
          <w:rFonts w:ascii="Arial Black" w:hAnsi="Arial Black"/>
          <w:i/>
          <w:iCs/>
          <w:sz w:val="24"/>
          <w:szCs w:val="24"/>
          <w:u w:val="single"/>
        </w:rPr>
      </w:pPr>
      <w:r w:rsidRPr="000E6815">
        <w:rPr>
          <w:rFonts w:ascii="Arial Black" w:hAnsi="Arial Black"/>
          <w:i/>
          <w:iCs/>
          <w:sz w:val="24"/>
          <w:szCs w:val="24"/>
          <w:u w:val="single"/>
        </w:rPr>
        <w:t>SEKTÖRDE KARŞILAŞILAN RİSKLER</w:t>
      </w:r>
    </w:p>
    <w:p w:rsidR="00F521F0" w:rsidRDefault="00F521F0" w:rsidP="00F521F0">
      <w:pPr>
        <w:spacing w:line="240" w:lineRule="auto"/>
        <w:jc w:val="both"/>
        <w:rPr>
          <w:rFonts w:ascii="Times New Roman" w:hAnsi="Times New Roman"/>
          <w:sz w:val="24"/>
          <w:szCs w:val="24"/>
        </w:rPr>
      </w:pPr>
      <w:r>
        <w:rPr>
          <w:rFonts w:ascii="Times New Roman" w:hAnsi="Times New Roman"/>
          <w:sz w:val="24"/>
          <w:szCs w:val="24"/>
        </w:rPr>
        <w:t xml:space="preserve">Bireylerin ve kurumların varlıklarını ve planlanan faaliyetlerini tehdit eden her türlü tehlikeye risk denilmekte olduğunu biliyoruz. Sigorta ise, bilindiği gibi,  latince kökenli bir kelime olup, tam Türkçe karşılığı emniyet ve güven anlamına gelir. Bir zararı doğuran veya meydana getiren bir olayın risk sonuçlarının, sigorta şirketlerince üstlenilmesi olarak da ifade edilebilir. Türk dil kurumunun hazırlamış olduğu sözlük ise, “sigorta” kelimesini, “bir şeyin veya bir kimsenin bir yönden ileride karşılaşabileceği zararı gidermek için, önceden ödenen prim karşılığında bu işle uğraşan kuruluşlarla yapılan iki taraflı bağlantı sözleşmesi” olarak tanımlamaktadır. Sigortayı doğuran temel nedenlerden biri, belirsizliktir. Sigorta, büyük sayılar kanunundan hareketle riskin belirli duruma getirilmesini amaçlamaktadır. Büyük sayılar kanununun işlerlik kazanabilmesi için, aynı veya benzer nitelikte risklerle karşı karşıya kalan çok sayıda katılımcının, aynı yıl içerisinde hasarı karşılayabilecek oranda primi havuza katması gerekir. Riskin gerçekleşmesi halinde ise, sigorta şirketince sözleşmede belirtilen ölçülerde hasarın karşılanmasını gerektirir. Sistemin temelini, riskin aynı anda ortaya çıkmayacağı varsayımı oluşturmaktadır. Sosyal bir araç olan sigorta, kişi ve kurumların büyük potansiyel zararlara karşı ekonomik güvenlik sağlamak için küçük primlerle birbirlerine yardımcı olmalarıdır. İnsanların rizikolara karşı birleşmeleri ve böylece tek başına üstlenmek zorunda kalacakları zararları aralarında bölüşmeleri, sigorta sisteminin esasını oluşturur. Sigorta bir sözleşmedir ve bu sözleşmenin konusu da söz konusu olan riskin karşılanmasıdır. Sigorta sisteminde bireyler ve işletmeler, üzerinde taşıdıkları riskleri prim karşılığında sigorta işletmesine devrederler. </w:t>
      </w:r>
      <w:r>
        <w:rPr>
          <w:rFonts w:ascii="Times New Roman" w:hAnsi="Times New Roman"/>
          <w:color w:val="000000"/>
          <w:sz w:val="24"/>
          <w:szCs w:val="24"/>
        </w:rPr>
        <w:t xml:space="preserve">Türk Ticaret Kanunu’nda ise Sigorta sigortacının bir prim karşılığında bir diğer kimsenin para ile ölçülebilir bir menfaatini halele uğratan bir tehlikenin (riskin) meydana gelmesi halinde tazminat vermeyi kabul ettiği bir sözleşme olarak tanımlanmıştır.  Sigorta sistemi esasen aynı türden tehlikelerle karşı karşıya olan sigortalılarından toplanan primler vasıtasıyla oluşturulan havuz sayesinde o tehlikenin gerçekleşmesi sonucu hasara uğrayan sigortalının zararının karşılanmasıdır. </w:t>
      </w:r>
      <w:r>
        <w:rPr>
          <w:rFonts w:ascii="Times New Roman" w:hAnsi="Times New Roman"/>
          <w:sz w:val="24"/>
          <w:szCs w:val="24"/>
        </w:rPr>
        <w:t xml:space="preserve">Buradan da görüldüğü gibi risk ve risk yönetimi sigortacılığın temel konusudur. Risk yönetiminde geçmişi en eskiye dayanan uygulamanın  sigorta olduğu söylenebilir. Ancak, sigorta her türlü riski teminat altına alamaz. </w:t>
      </w:r>
    </w:p>
    <w:p w:rsidR="00F521F0" w:rsidRPr="000E6815" w:rsidRDefault="00F521F0" w:rsidP="00F521F0">
      <w:pPr>
        <w:pStyle w:val="AralkYok"/>
        <w:jc w:val="both"/>
        <w:rPr>
          <w:b/>
          <w:bCs/>
          <w:i/>
          <w:color w:val="000000"/>
          <w:u w:val="single"/>
          <w:lang w:val="en-US"/>
        </w:rPr>
      </w:pPr>
      <w:r w:rsidRPr="000E6815">
        <w:rPr>
          <w:b/>
          <w:bCs/>
          <w:i/>
          <w:color w:val="000000"/>
          <w:u w:val="single"/>
          <w:lang w:val="en-US"/>
        </w:rPr>
        <w:t>SİGORTACILIK AÇISINDAN RİSK KAVRAMI</w:t>
      </w:r>
    </w:p>
    <w:p w:rsidR="00F521F0" w:rsidRDefault="00F521F0" w:rsidP="00F521F0">
      <w:pPr>
        <w:pStyle w:val="AralkYok"/>
        <w:jc w:val="both"/>
        <w:rPr>
          <w:lang w:val="en-US"/>
        </w:rPr>
      </w:pPr>
      <w:r>
        <w:rPr>
          <w:b/>
          <w:bCs/>
          <w:color w:val="000000"/>
          <w:u w:val="single"/>
          <w:lang w:val="en-US"/>
        </w:rPr>
        <w:t xml:space="preserve">Sigortacılıkta Risk: </w:t>
      </w:r>
      <w:r>
        <w:rPr>
          <w:bCs/>
          <w:color w:val="000000"/>
          <w:lang w:val="en-US"/>
        </w:rPr>
        <w:t>B</w:t>
      </w:r>
      <w:r>
        <w:rPr>
          <w:color w:val="000000"/>
          <w:lang w:val="en-US"/>
        </w:rPr>
        <w:t xml:space="preserve">ilinmeyen ve ani şekilde ortaya çıkan ve irade dışı olan muhtemel tehlike olarak ifade edilir. </w:t>
      </w:r>
      <w:r>
        <w:rPr>
          <w:lang w:val="en-US"/>
        </w:rPr>
        <w:t xml:space="preserve">Bir riskin sigorta kapsamında teminat altına alınabilmesi için bazı unsurların oluşması gerekir. </w:t>
      </w:r>
    </w:p>
    <w:p w:rsidR="00F521F0" w:rsidRDefault="00F521F0" w:rsidP="00F521F0">
      <w:pPr>
        <w:pStyle w:val="AralkYok"/>
        <w:jc w:val="both"/>
        <w:rPr>
          <w:lang w:val="en-US"/>
        </w:rPr>
      </w:pPr>
      <w:r>
        <w:rPr>
          <w:lang w:val="en-US"/>
        </w:rPr>
        <w:t>Sigortacılık açısından riskin temel unsurları;</w:t>
      </w:r>
    </w:p>
    <w:p w:rsidR="00F521F0" w:rsidRDefault="00F521F0" w:rsidP="00F521F0">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Maddi ve gerçek olması</w:t>
      </w:r>
    </w:p>
    <w:p w:rsidR="00F521F0" w:rsidRDefault="00F521F0" w:rsidP="00F521F0">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Muhtemel olması (Ne zaman gerçekleşeceği veya gerçekleşip gerçekleşmeyeceği kesin olmaması yani belirsiz olması) </w:t>
      </w:r>
    </w:p>
    <w:p w:rsidR="00F521F0" w:rsidRDefault="00F521F0" w:rsidP="00F521F0">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Gelecekte meydana gelme ihtimali olması (Geçmişte veya şu anda meydana gelmemesi)  ama ne zaman meydana geleceğinin belli olmaması </w:t>
      </w:r>
    </w:p>
    <w:p w:rsidR="00F521F0" w:rsidRDefault="00F521F0" w:rsidP="00F521F0">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Tarafların (sigortalı ve sigortacının)  iradesi dışında meydana gelmesi </w:t>
      </w:r>
    </w:p>
    <w:p w:rsidR="00F521F0" w:rsidRDefault="00F521F0" w:rsidP="00F521F0">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Konusu bakımından yasal-meşru olması, yasalara uygun olması. . </w:t>
      </w:r>
    </w:p>
    <w:p w:rsidR="00F521F0" w:rsidRDefault="00F521F0" w:rsidP="00F521F0">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Maddi zarar doğuran bir olay olmasıdır.    </w:t>
      </w:r>
    </w:p>
    <w:p w:rsidR="00F521F0" w:rsidRDefault="00F521F0" w:rsidP="00F521F0">
      <w:pPr>
        <w:spacing w:after="0" w:line="240" w:lineRule="auto"/>
        <w:ind w:left="240"/>
        <w:jc w:val="both"/>
        <w:rPr>
          <w:rFonts w:ascii="Times New Roman" w:hAnsi="Times New Roman"/>
          <w:sz w:val="24"/>
          <w:szCs w:val="24"/>
        </w:rPr>
      </w:pPr>
    </w:p>
    <w:p w:rsidR="00F521F0" w:rsidRDefault="00F521F0" w:rsidP="00F521F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Bu özelliklere sahip olmayan riskler sigortacılar tarafından risk olarak kabul edilip teminat altına alınamazlar. Dolayısıyla sigortalanabilir risk geçmişte ya da tam o anda oluşan olayları kapsayamaz. Riskin temel unsurları sigortacılık açısından da gelecek ve belirsizliktir. Dolayosıyla gelecekte ne zaman gerçekleşeceğinin de belirsiz olması gerekir. Riskin sigortacılık açısından ek unsur irade dışı olaylardan meydana gelmiş olması şartıdır. Sigortalı ya da sigortacısının iradesi ile gerçekleştirdiği olaylar sigorta teminatı kapsamına alınamaz. Ayrıca zarar doğurmayan olayların sigorta teminatı kapsamında olmayacağı da açıktır. Burada bir hususu daha hatırlatmakta yarar vardır.  Sigortacılık açısından teminat altına alınacak riskler değeri ölçülebilir maddi riskler olmalıdır. Değeri ölçülemeyen risklerin yanısıra oluşabilecek manevi kayıp veya zararlar sigorta kapsamına alınamaz. Sigorta edilecek riskin konusu açısından yasal ve meşru olması da sigortacılık açısından özel önem taşır. Örneğin, uyuşturucu nakliyatı yapan firmalara nakliyat sigortası yapılamayacağı açıktır. Sigorta mevcut kanunlar ve toplumun meşru görmediği faaliyetlerden dolayı oluşabilecek zararları teminat altına alamaz. </w:t>
      </w:r>
    </w:p>
    <w:p w:rsidR="00F521F0" w:rsidRDefault="00F521F0" w:rsidP="00F521F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521F0" w:rsidRDefault="00F521F0" w:rsidP="00F521F0">
      <w:pPr>
        <w:spacing w:line="240" w:lineRule="auto"/>
        <w:jc w:val="both"/>
        <w:rPr>
          <w:rFonts w:ascii="Times New Roman" w:hAnsi="Times New Roman"/>
          <w:sz w:val="24"/>
          <w:szCs w:val="24"/>
        </w:rPr>
      </w:pPr>
      <w:r>
        <w:rPr>
          <w:rFonts w:ascii="Times New Roman" w:hAnsi="Times New Roman"/>
          <w:sz w:val="24"/>
          <w:szCs w:val="24"/>
        </w:rPr>
        <w:t xml:space="preserve">Ticari riskler işletmenin kararları sonucunda karşılaşılan iradi riskler olup, ticari risklerde zarar elde etme ihtimali kadar kar elde etme ihtimali olan risklerdir. Tesadüfi (Saf) riskler ise işletmenin kararları ile ilgili olmayan, doğal nedenlerden kaynaklanan, olayısıyla irade dışında meydana gelen, riskler olup, bu risklerin gerçekleşmesi halinde sadece zarara uğrama ihtimali vardır.  Sigortacılık açısından bu ayırımın önemi sigortacılarının konusunun saf riskler olmasıdır. Riskin teminat altına alınabilmesi için tesadüfi olarak gerçekleşemsi gerekir. Tesadüfi (Saf) riskler sigortacılar tarafından teminat altına alınabilir. Ticari riskler sigortacılar tarafından teminat kapsamına alınamaz. Ticari riskler sonucunda ortaya çıkacak zararlar işletme tarafından üstlenilir. Burada insan iradesi ile alınan kararların ve uğranan zararların sigorta teminatı dışında bırakılmakta olduğunu görüyoruz. Riskin sigorta aracılığıyla teminat altına alınabilmesi için hasarın irade dışında tesadüf olarak meydana gelmesi şartı aranır. İkinci unsur, sigorta kapsamına girecek riskin ölçülebilir ve para ile ifade edilebilir olmasıdır. Yukarıda belirttiğimiz gibi, manevi hasarlar sigorta kapsamına girmez. Üçüncü unsur ise, aynı derecede tehlikeye maruz kalan benzer ünitelerin bir araya getirilmesidir. Aynı tehlikeye maruz benzer ünitelerin bir araya getirilmesi sayesinde rizikonun dağılımı mümkün olabilmektedir. Böylece, büyük sayılar kanunu gerçekleşmekte ve sigortacı çok sayıda rizikoyu üstlenebilmektedir. Şirket risk yönetimini kabullenirken, riskin, alacağı primlerle karşılanamayacak nitelikte olmamasına dikkat etmektedir. Hiçbir sigortalı, kendisinin karşılaşması muhtemel riskten farklı ve gerçekleşme ihtimali daha fazla olan bir riskle karşı karşıya bulunan başka bir sigortalıyla aynı sorumluluğu paylaşmak istemez. Sigortacılığın en önemli makro işlevi, riski topluma yayması ve bu yolla sosyo-ekonomik çöküntü ve kaybı önlemesidir. Sigorta sektörü, ticari işletmelerin faaliyetlerini sekteye uğratacak hasarları karşılayarak, ekonomide devreden çıkacak yatırımların doğuracağı gelir kaybının önüne geçer. </w:t>
      </w: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lastRenderedPageBreak/>
        <w:t>-</w:t>
      </w:r>
      <w:r w:rsidR="00F521F0">
        <w:rPr>
          <w:b/>
          <w:lang w:val="en-US"/>
        </w:rPr>
        <w:t xml:space="preserve"> SİGORTACILIKTA RİSKLERİN SINIFLANDIRILMASI </w:t>
      </w:r>
    </w:p>
    <w:p w:rsidR="00F521F0" w:rsidRDefault="00F521F0" w:rsidP="00F521F0">
      <w:pPr>
        <w:pStyle w:val="AralkYok"/>
        <w:jc w:val="both"/>
        <w:rPr>
          <w:b/>
          <w:lang w:val="en-US"/>
        </w:rPr>
      </w:pPr>
      <w:r>
        <w:rPr>
          <w:b/>
          <w:lang w:val="en-US"/>
        </w:rPr>
        <w:t xml:space="preserve">İŞLETME RİSKLERİ  </w:t>
      </w:r>
    </w:p>
    <w:p w:rsidR="00F521F0" w:rsidRDefault="000E6815" w:rsidP="00F521F0">
      <w:pPr>
        <w:pStyle w:val="AralkYok"/>
        <w:jc w:val="both"/>
        <w:rPr>
          <w:b/>
          <w:lang w:val="en-US"/>
        </w:rPr>
      </w:pPr>
      <w:r>
        <w:rPr>
          <w:b/>
          <w:lang w:val="en-US"/>
        </w:rPr>
        <w:t>--</w:t>
      </w:r>
      <w:r w:rsidR="00F521F0">
        <w:rPr>
          <w:b/>
          <w:lang w:val="en-US"/>
        </w:rPr>
        <w:t xml:space="preserve"> Aktüeryal Riskler</w:t>
      </w:r>
    </w:p>
    <w:p w:rsidR="00F521F0" w:rsidRDefault="00F521F0" w:rsidP="00F521F0">
      <w:pPr>
        <w:pStyle w:val="AralkYok"/>
        <w:jc w:val="both"/>
        <w:rPr>
          <w:lang w:val="en-US"/>
        </w:rPr>
      </w:pPr>
      <w:r>
        <w:rPr>
          <w:lang w:val="en-US"/>
        </w:rPr>
        <w:t>Sigorta sermaye piyasalarında topladığı fonları şirketleri, değerlendirdiğinden, fiyat düşüş ve yükseliş risklerinden etkilenmektedirler. Şirket poliçeleri fiyatlandırılırken sadece düşüş olabilecek hasar ödemeleri değil, fonların sigorta sözleşmesi başlangıcı ve bitişi arasındaki zamansal kazançları ve faizi de önem taşımaktadır. Aktüeryal risk, sigorta poliçeleri ve diğer yükümlülükler aracılığıyla ihraç edilen fonların yükselmesinden doğan risktir. Sigorta şirketi fonlarını normal getirili yatırım araçlarında değerlendirirse, ortalama olarak sıfır net ekonomik kazancın gerçekleşmesini beklemektedir. Sigorta şirketi bu fonlara çok fazla para yatırırsa, uzun vadede tatmin edici bir kazanç bekleyemez. Aktüeryal riskin bir başka yönü, herhangi bir zaman sürecinde beklenenden daha fazla sigortaya kabul edilmiş risklerden doğan kayıpların olabileceğidir. Bu durumun ilk nedeni, beklenen kayıp dağılımı hakkında yeterli bilgiye sahip olunamamasıdır. İkinci olarak, kayıplar ortalamanın etrafında dalgalandığı için oluşabilecek zararlar beklenenin üzerinde gerçekleşmektedir. Bu durumda ortalamadan sapma derecesi de sigorta edilen risklerin özelliklerine bağlıdır. Sigorta şirketlerinde aktüeryal riski yönetmek konusundaki ilerlemeler, gelişmiş ülkelerdeki hayat sigortaları fiyatlamalarından anlaşılmaktadır. Son dönemlere kadar, hayat sigortası fiyatları, kayıp dağılımları ve faiz oranları ile ilgili statik tahminler kullanarak yapılmaktaydı. 1970’lerin ortalarına kadar bu yaklaşımla olumlu sonuçlar alınmış olmakla birlikte özellikle 1980’lere gelindiğinde faiz oranlarındaki dalgalanmaları yönetmek güçleşmiştir. Hayat sigortaları özellikleri itibarıyla çeşitli seçeneklere sahiptir. Poliçe üzerinden ödünç para alabilme, poliçeyi sigorta şirketlerine geri satabilme, emeklilik, iptal edebilme, yenileme gibi sigortalıların hakları bulunmaktadır. Sabit faiz oranı ile ilgili sigorta şirketi ileriye yönelik yükümlülüklerini yerine getirmekte ve yukarıda belirtilen seçenekler çerçevesinde sigortalıların tercihleri konusunda daha kolay hareket edebilmekteydi. Faiz oranları değişken olduğunda, sigorta şirketinin yatırımlara yönlendirdiği fonların getirilerinde dalgalanmalar olmaktadır. Sabit faiz oranlarına bağlı olan geleneksel aktüeryal yöntemlerin kullanılmasıyla poliçeler değer yitirdiğinden, günümüzde artık hayat sigorta şirketleri değişken faiz oranlarını dikkate alarak poliçe fiyatlamalarını ve diğer işlemlerini gerçekleştirmektedir.</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t>--</w:t>
      </w:r>
      <w:r w:rsidR="00F521F0">
        <w:rPr>
          <w:b/>
          <w:lang w:val="en-US"/>
        </w:rPr>
        <w:t xml:space="preserve"> Reasürans Riski </w:t>
      </w:r>
    </w:p>
    <w:p w:rsidR="00F521F0" w:rsidRDefault="00F521F0" w:rsidP="00F521F0">
      <w:pPr>
        <w:pStyle w:val="AralkYok"/>
        <w:jc w:val="both"/>
        <w:rPr>
          <w:lang w:val="en-US"/>
        </w:rPr>
      </w:pPr>
      <w:r>
        <w:rPr>
          <w:lang w:val="en-US"/>
        </w:rPr>
        <w:t xml:space="preserve">Reasürans işlemlerinden kaynaklanan risklerdir. </w:t>
      </w:r>
    </w:p>
    <w:p w:rsidR="00F521F0" w:rsidRDefault="000E6815" w:rsidP="00F521F0">
      <w:pPr>
        <w:pStyle w:val="AralkYok"/>
        <w:jc w:val="both"/>
        <w:rPr>
          <w:b/>
          <w:lang w:val="en-US"/>
        </w:rPr>
      </w:pPr>
      <w:r>
        <w:rPr>
          <w:b/>
          <w:lang w:val="en-US"/>
        </w:rPr>
        <w:t>--</w:t>
      </w:r>
      <w:r w:rsidR="00F521F0">
        <w:rPr>
          <w:b/>
          <w:lang w:val="en-US"/>
        </w:rPr>
        <w:t xml:space="preserve"> Operasyonel Riskler</w:t>
      </w:r>
    </w:p>
    <w:p w:rsidR="00F521F0" w:rsidRDefault="00F521F0" w:rsidP="00F521F0">
      <w:pPr>
        <w:pStyle w:val="AralkYok"/>
        <w:jc w:val="both"/>
        <w:rPr>
          <w:lang w:val="en-US"/>
        </w:rPr>
      </w:pPr>
      <w:r>
        <w:rPr>
          <w:lang w:val="en-US"/>
        </w:rPr>
        <w:t xml:space="preserve">Sigorta şirketinin işletme yapısının iş akışında hatalı satış, sahtekârlık, kriminal eğilimler, sistem hatalarından kaynaklanan risklerdir. </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lastRenderedPageBreak/>
        <w:t>--</w:t>
      </w:r>
      <w:r w:rsidR="00F521F0">
        <w:rPr>
          <w:b/>
          <w:lang w:val="en-US"/>
        </w:rPr>
        <w:t xml:space="preserve"> Yatırım (Piyasa) Riski</w:t>
      </w:r>
    </w:p>
    <w:p w:rsidR="00F521F0" w:rsidRDefault="00F521F0" w:rsidP="00F521F0">
      <w:pPr>
        <w:pStyle w:val="AralkYok"/>
        <w:jc w:val="both"/>
        <w:rPr>
          <w:lang w:val="en-US"/>
        </w:rPr>
      </w:pPr>
      <w:r>
        <w:rPr>
          <w:lang w:val="en-US"/>
        </w:rPr>
        <w:t xml:space="preserve">Doğrudan işletme yatırımlarına bağlı olan risklerdir. Sigorta şirketleri yaptıkları yatırımların nakit akımlarının gelecekteki ödemeler süresi içerisinde sağlarlar. Etkin bir portföy çeşitlendirmesi ve yönetimi olmaması halinde ortaya çıkan risklerdir. Bu daha çok piyasadaki dalgalanmalar sonucu ortaya çıkan bu riskler doğrudan hissedarları etkilemektedir. Bir sigorta şirketi için birinci derecede yatırım riski portföyün yeterince çeşitlendirilmemesi, varlıkların aşırı değerlendirilmesi veya bir varlık grubunda yoğunlaşmadan kaynaklanır. Yatırım şirketinin finansal yapısının yetersizliğinden kaynaklanan riski ayrıca pazar değeri dalgalanmalarından veya faiz oranı riskinden  kaynaklanabilir. Yatırım riski gelecekteki nakit akışlarının zamanlama hatasından veya beklenen nakit akışlarının düşük olmasından da kaynaklanabilir. </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Likidite Riski</w:t>
      </w:r>
    </w:p>
    <w:p w:rsidR="00F521F0" w:rsidRDefault="00F521F0" w:rsidP="00F521F0">
      <w:pPr>
        <w:pStyle w:val="AralkYok"/>
        <w:jc w:val="both"/>
        <w:rPr>
          <w:lang w:val="en-US"/>
        </w:rPr>
      </w:pPr>
      <w:r>
        <w:rPr>
          <w:lang w:val="en-US"/>
        </w:rPr>
        <w:t>Likidite riski, genel olarak ihtiyaç duyulan miktarda fonun ihtiyaç duyulduğu anda uygun bir maliyetle bulunamaması, elde tutulan finansal varlığın istenilen amanda ve fiyatta elden çıkarılamaması veya transfer edilememesi sonucunda zarara uğrama olasılığı olara tanımlanabilmektedir. Buna yol açan riskler; büyük bir hasar, güven kaybı veya yasal kriz gibi beklenmeyen olaylardır. Sigorta şirketleri katastrofik riskler yüzünden oldukça geniş çapta poliçe iptalleri ile karşılaşabilecekleri bir pazarda faaliyet gösterdiklerinden bilançolarının pasif kısmını likit tutmaktadırlar. Sigortalılarına olan nakit yükümlülüğünü yerine getirebilmesi için sigorta şirketinin yeterli likiditeyi bulundurması önem taşımaktadır.</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Eşleştirme Riski</w:t>
      </w:r>
    </w:p>
    <w:p w:rsidR="00F521F0" w:rsidRDefault="00F521F0" w:rsidP="00F521F0">
      <w:pPr>
        <w:pStyle w:val="AralkYok"/>
        <w:jc w:val="both"/>
        <w:rPr>
          <w:lang w:val="en-US"/>
        </w:rPr>
      </w:pPr>
      <w:r>
        <w:rPr>
          <w:lang w:val="en-US"/>
        </w:rPr>
        <w:t xml:space="preserve">İşletme yükümlülüklerini uygun varlıklarla eşleştirememesi sonucu ortaya çıkar. Bu da döviz kuru, zamanlama, faiz kuru, enflasyon ve hayat sigortalarında ömür ile ilgili olabilir. Hatalı eşleştirme sonucu ortaya çıkan bu kayıplar işletmenin gelir tablosuna yansımaktadır. Sözgelimi bireysel emeklilik ve hayat sigorta şirketlerinde uzun vadeli  yatırımlar bozularak, kısa vadeli yükümlülüklerinin karşılanmasında kullanılmaktadır. </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Harcama Riskleri</w:t>
      </w:r>
    </w:p>
    <w:p w:rsidR="00F521F0" w:rsidRDefault="00F521F0" w:rsidP="00F521F0">
      <w:pPr>
        <w:pStyle w:val="AralkYok"/>
        <w:jc w:val="both"/>
        <w:rPr>
          <w:lang w:val="en-US"/>
        </w:rPr>
      </w:pPr>
      <w:r>
        <w:rPr>
          <w:lang w:val="en-US"/>
        </w:rPr>
        <w:t>Bu riskler özellikle, bireysel emeklilik ve hayat sigorta şirketleri için önem taşımaktadır. Sabit maliyetlerin, prim gelirleri ile finanse edilmesi gibi riskleri ifade eder. Hayat sigorta şirketlerinde faaliyet, yönetim giderleri ve sözleşmelerin sona ermesi ile ilişkilidir.</w:t>
      </w:r>
    </w:p>
    <w:p w:rsidR="00F521F0" w:rsidRDefault="00F521F0" w:rsidP="00F521F0">
      <w:pPr>
        <w:pStyle w:val="AralkYok"/>
        <w:jc w:val="both"/>
        <w:rPr>
          <w:lang w:val="en-US"/>
        </w:rPr>
      </w:pPr>
    </w:p>
    <w:p w:rsidR="00F521F0" w:rsidRDefault="00F521F0" w:rsidP="00F521F0">
      <w:pPr>
        <w:pStyle w:val="AralkYok"/>
        <w:jc w:val="both"/>
        <w:rPr>
          <w:b/>
          <w:lang w:val="en-US"/>
        </w:rPr>
      </w:pP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lastRenderedPageBreak/>
        <w:t>--</w:t>
      </w:r>
      <w:r w:rsidR="00F521F0">
        <w:rPr>
          <w:b/>
          <w:lang w:val="en-US"/>
        </w:rPr>
        <w:t xml:space="preserve"> Zamanaşımı Riski</w:t>
      </w:r>
    </w:p>
    <w:p w:rsidR="00F521F0" w:rsidRDefault="00F521F0" w:rsidP="00F521F0">
      <w:pPr>
        <w:pStyle w:val="AralkYok"/>
        <w:jc w:val="both"/>
        <w:rPr>
          <w:lang w:val="en-US"/>
        </w:rPr>
      </w:pPr>
      <w:r>
        <w:rPr>
          <w:lang w:val="en-US"/>
        </w:rPr>
        <w:t xml:space="preserve">Poliçe sahibinin vadesinden önce poliçeyi iptal etmesi işletmenin sabit masraflarının karşılayamamasına neden olur. Hayat dışı sigorta şirketlerinde çok fazla önemi olmayan bu riskler, özellikle hayat sigorta şirketlerinin primlerinin kesilmesi sonucu ortaya çıkarlar. </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t>--</w:t>
      </w:r>
      <w:r w:rsidR="00F521F0">
        <w:rPr>
          <w:b/>
          <w:lang w:val="en-US"/>
        </w:rPr>
        <w:t xml:space="preserve"> Provizyon Riski</w:t>
      </w:r>
    </w:p>
    <w:p w:rsidR="00F521F0" w:rsidRDefault="00F521F0" w:rsidP="00F521F0">
      <w:pPr>
        <w:pStyle w:val="AralkYok"/>
        <w:jc w:val="both"/>
        <w:rPr>
          <w:lang w:val="en-US"/>
        </w:rPr>
      </w:pPr>
      <w:r>
        <w:rPr>
          <w:lang w:val="en-US"/>
        </w:rPr>
        <w:t>Provizyonlar sigorta şirketlerinin masraflarını karşılamayacak düzeyde belirlenmesi sonucu ortaya çıkmaktadır. Örneğin çok riskli varlıkların sigortalanması sonucu, işletme, sermayesini kaybetme riski ile karşılaşabilir. Ayrıca işletme yönetiminin uygun olmayan işletme kararları sonucunda düşük provizyon elde edilmiş olunabilir.</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PİYASA RİSKLERİ </w:t>
      </w:r>
    </w:p>
    <w:p w:rsidR="00F521F0" w:rsidRDefault="00F521F0" w:rsidP="00F521F0">
      <w:pPr>
        <w:pStyle w:val="AralkYok"/>
        <w:jc w:val="both"/>
        <w:rPr>
          <w:lang w:val="en-US"/>
        </w:rPr>
      </w:pPr>
      <w:r>
        <w:rPr>
          <w:lang w:val="en-US"/>
        </w:rPr>
        <w:t xml:space="preserve">Piyasa riski sigortacılık açısından sistematik riskler kapsamında değerlendirilen bir risk türüdür. Diğer sistematik riskleri ise kredi riski ve operasyonel riskler olarak adlandırılır. Ancak, piyasa riski alt başlıkları ile birlikte kredi riski ve operasyonel risklerden önemli ölçüde farklılık gösterir. Bu nedenle kredi riskleri ve operasyonel risklerin piyasa risklerinden ayrı başlıklarla ele alınması gerekir. Piyasa riski bilânço içi veya dışı pozisyonların, piyasadaki fiyat hareketleri dolayısıyla maruz kaldıkları kayıp riskini ifade eder. Bu riski, bankanın kar amaçlı olarak tutuşu, kendi portföyünde (alım-satım hesapları) bulunan faize dayalı enstrümanlar ve hisse senetleri varlıklardır. Ayrıca döviz ve emtia da risk taşımaktadır. Faiz getirisi olan varlıklar ile hisse senetleri, piyasa değerleri üzerinden değerlenerek sermaye yeterlilik hesabında yer alır. Sigorta şirketleri ticari amaçla kullanmadıkları bazı enstrümanları portföylerini riskten korumak amacıyla kullanır. Basel Komitesi, bilânço içi veya dışı ticari amaçlı kullanılmayan enstrümanların da risk hesabına katılmasında serbestlik tanınması gerektiğini belirtmiştir.Döviz ve emtia risk hesaplamasına dahil edilir. Bazı durumlarda sermaye yeterlilik oranlarını korumak için döviz pozisyonu alabilmektedirler. Bu durum, “yapısal yabancı para pozisyonu” olarak adlandırılır. Yapısal yabancı para pozisyonu risk hesaplamalarından hariç tutulur. Bu pozisyonlardan bazıları piyasa fiyatından değerlenirken, bazı pozisyonlar defter değerinden hesaplanabilir. Piyasa riski konsolide bazda hesaplanır. Ancak, ulusal düzenleyiciler, konsolide edilen kurumların piyasa riskini de ayrı ayrı izlemektedir. Piyasa riski iki şekilde hesaplanabilir: standart yöntem ve içsel risk değerleme modelleri. Standart metotta, komitenin öngördüğü şekilde hesaplanan faiz, hisse senedi, yabancı para ve emtia pozisyonların riski ayrı ayrı hesaplanarak toplamı alınır. </w:t>
      </w:r>
    </w:p>
    <w:p w:rsidR="00F521F0" w:rsidRDefault="00F521F0" w:rsidP="00F521F0">
      <w:pPr>
        <w:pStyle w:val="AralkYok"/>
        <w:jc w:val="both"/>
        <w:rPr>
          <w:lang w:val="en-US"/>
        </w:rPr>
      </w:pPr>
    </w:p>
    <w:p w:rsidR="00F521F0" w:rsidRDefault="00F521F0" w:rsidP="00F521F0">
      <w:pPr>
        <w:pStyle w:val="AralkYok"/>
        <w:jc w:val="both"/>
        <w:rPr>
          <w:lang w:val="en-US"/>
        </w:rPr>
      </w:pPr>
    </w:p>
    <w:p w:rsidR="00F521F0" w:rsidRDefault="00F521F0" w:rsidP="00F521F0">
      <w:pPr>
        <w:pStyle w:val="AralkYok"/>
        <w:jc w:val="both"/>
        <w:rPr>
          <w:lang w:val="en-US"/>
        </w:rPr>
      </w:pP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lastRenderedPageBreak/>
        <w:t>--</w:t>
      </w:r>
      <w:r w:rsidR="00F521F0">
        <w:rPr>
          <w:b/>
          <w:lang w:val="en-US"/>
        </w:rPr>
        <w:t xml:space="preserve"> Faiz Oranı Riski </w:t>
      </w:r>
    </w:p>
    <w:p w:rsidR="00F521F0" w:rsidRDefault="00F521F0" w:rsidP="00F521F0">
      <w:pPr>
        <w:pStyle w:val="AralkYok"/>
        <w:jc w:val="both"/>
        <w:rPr>
          <w:lang w:val="en-US"/>
        </w:rPr>
      </w:pPr>
      <w:r>
        <w:rPr>
          <w:lang w:val="en-US"/>
        </w:rPr>
        <w:t xml:space="preserve">"Spesifik risk", bankanın elinde bulunan faize bağlı enstrümanları ihraç eden kurumdan kaynaklanabilecek olumsuz gelişmeleri dikkate almaktadır. Riskin belirlenmesinde aynı özellikteki enstrümanlar için netleştirme yapılabilmektedir. Ancak aynı kurumun çıkardığı değişik vade, faiz oranı vb. özellikleri olan menkul kıymetler arasında netleştirme yapılmaz. Spesifik risk katsayısı hazine kayıtları için %0 olarak belirlenmiştir. Kamu kurumları, çok taraflı kalkınma bankaları ve bazı şartları yerine getiren tarafların (derecelendirme kuruluşlarının verdiği ”yatırım yapılabilir” kategorisindeki kredi notuna sahip olanlar gibi) ihraçları için menkul kıymetin vadeye kalan gün sayısına göre, spesifik risk katsayısı %0.25 ile %1.6 arasında değişmektedir. Bu tanımların dışında kalanlar için risk katsayısı %8 olarak belirlenmiştir. “Genel piyasa riski” ise, faiz oranlarındaki değişiminin yol açabileceği zararı ölçmektedir. Genel piyasa riski aşağıdaki sermaye yükümlülüklerinin toplamı olarak tanımlanmıştır: </w:t>
      </w:r>
    </w:p>
    <w:p w:rsidR="00F521F0" w:rsidRDefault="00F521F0" w:rsidP="00F521F0">
      <w:pPr>
        <w:pStyle w:val="AralkYok"/>
        <w:jc w:val="both"/>
        <w:rPr>
          <w:lang w:val="en-US"/>
        </w:rPr>
      </w:pPr>
      <w:r>
        <w:rPr>
          <w:lang w:val="en-US"/>
        </w:rPr>
        <w:t xml:space="preserve">Portföyündeki net kısa ve uzun pozisyonlar, </w:t>
      </w:r>
    </w:p>
    <w:p w:rsidR="00F521F0" w:rsidRDefault="00F521F0" w:rsidP="00F521F0">
      <w:pPr>
        <w:pStyle w:val="AralkYok"/>
        <w:jc w:val="both"/>
        <w:rPr>
          <w:lang w:val="en-US"/>
        </w:rPr>
      </w:pPr>
      <w:r>
        <w:rPr>
          <w:lang w:val="en-US"/>
        </w:rPr>
        <w:t xml:space="preserve">Aynı zaman dilimlerinde eşleşen pozisyonların küçük olanı, </w:t>
      </w:r>
    </w:p>
    <w:p w:rsidR="00F521F0" w:rsidRDefault="00F521F0" w:rsidP="00F521F0">
      <w:pPr>
        <w:pStyle w:val="AralkYok"/>
        <w:jc w:val="both"/>
        <w:rPr>
          <w:lang w:val="en-US"/>
        </w:rPr>
      </w:pPr>
      <w:r>
        <w:rPr>
          <w:lang w:val="en-US"/>
        </w:rPr>
        <w:t xml:space="preserve">Farklı zaman dilimlerinde eşleşen pozisyonların büyük olanı, </w:t>
      </w:r>
    </w:p>
    <w:p w:rsidR="00F521F0" w:rsidRDefault="00F521F0" w:rsidP="00F521F0">
      <w:pPr>
        <w:pStyle w:val="AralkYok"/>
        <w:jc w:val="both"/>
        <w:rPr>
          <w:lang w:val="en-US"/>
        </w:rPr>
      </w:pPr>
      <w:r>
        <w:rPr>
          <w:lang w:val="en-US"/>
        </w:rPr>
        <w:t xml:space="preserve">Uygun olduğu durumda, opsiyonlardaki net pozisyon. </w:t>
      </w:r>
    </w:p>
    <w:p w:rsidR="00F521F0" w:rsidRDefault="00F521F0" w:rsidP="00F521F0">
      <w:pPr>
        <w:pStyle w:val="AralkYok"/>
        <w:jc w:val="both"/>
        <w:rPr>
          <w:lang w:val="en-US"/>
        </w:rPr>
      </w:pPr>
      <w:r>
        <w:rPr>
          <w:lang w:val="en-US"/>
        </w:rPr>
        <w:t xml:space="preserve">Genel piyasa riski, vadeye kalan süre veya ortalama vade (duration) ile belirlenebilir. </w:t>
      </w:r>
    </w:p>
    <w:p w:rsidR="00F521F0" w:rsidRDefault="00F521F0" w:rsidP="00F521F0">
      <w:pPr>
        <w:pStyle w:val="AralkYok"/>
        <w:jc w:val="both"/>
        <w:rPr>
          <w:lang w:val="en-US"/>
        </w:rPr>
      </w:pPr>
      <w:r>
        <w:rPr>
          <w:lang w:val="en-US"/>
        </w:rPr>
        <w:t xml:space="preserve">Faize bağlı türev araçlar ve bilanço dışı faize duyarlı enstrümanlar da risk hesaplamada yer alır. Türev araçların riski, bağlı olduğu enstrümanlara çevrilerek hesaplanır. </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Hisse (Pay)  Senedi Riski</w:t>
      </w:r>
    </w:p>
    <w:p w:rsidR="00F521F0" w:rsidRDefault="00F521F0" w:rsidP="00F521F0">
      <w:pPr>
        <w:pStyle w:val="AralkYok"/>
        <w:jc w:val="both"/>
        <w:rPr>
          <w:lang w:val="en-US"/>
        </w:rPr>
      </w:pPr>
      <w:r>
        <w:rPr>
          <w:lang w:val="en-US"/>
        </w:rPr>
        <w:t xml:space="preserve">Pay (hisse) senetleri riskinin hesaplanmasında, spesifik risk ve genel piyasa riski ayrımı yapılır. Spesifik risk hesaplamasında kurumun tüm kısa ve uzun pozisyonlarının toplamı incelenir. Genel piyasa riski için ise, uzun ve kısa pozisyonlar arasındaki fark incelenir. Uzun ve kısa pozisyonlar, her borsadaki pozisyon için ayrı ayrı hesaplanır. Genel piyasa riski %8 olarak belirlenmiştir. Yeterince çeşitlendirilmiş likit portföy için, özel risk katsayısı %4, diğerleri için uygulanacak oran %8’dir. Hisse senedi türevleri ve bilânço dışı aktifler de risk hesaplamasına dâhil edilmektedir. Türevler ilgili oldukları hisse senetleri/endekslere dönüştürülerek hesaplanır. Çeşitlendirilmiş bir hisse senedi portföyündeki kısa veya uzun pozisyon ve arbitraj faaliyetleri için %2 ek sermaye ayrılması gerekir. </w:t>
      </w:r>
    </w:p>
    <w:p w:rsidR="00F521F0" w:rsidRDefault="00F521F0" w:rsidP="00F521F0">
      <w:pPr>
        <w:pStyle w:val="AralkYok"/>
        <w:jc w:val="both"/>
        <w:rPr>
          <w:lang w:val="en-US"/>
        </w:rPr>
      </w:pPr>
    </w:p>
    <w:p w:rsidR="00F521F0" w:rsidRDefault="000E6815" w:rsidP="00F521F0">
      <w:pPr>
        <w:spacing w:line="240" w:lineRule="auto"/>
        <w:rPr>
          <w:rFonts w:ascii="Times New Roman" w:hAnsi="Times New Roman"/>
          <w:b/>
          <w:sz w:val="24"/>
          <w:szCs w:val="24"/>
        </w:rPr>
      </w:pPr>
      <w:r>
        <w:rPr>
          <w:rFonts w:ascii="Times New Roman" w:hAnsi="Times New Roman"/>
          <w:b/>
          <w:sz w:val="24"/>
          <w:szCs w:val="24"/>
        </w:rPr>
        <w:t>--</w:t>
      </w:r>
      <w:r w:rsidR="00F521F0">
        <w:rPr>
          <w:rFonts w:ascii="Times New Roman" w:hAnsi="Times New Roman"/>
          <w:b/>
          <w:sz w:val="24"/>
          <w:szCs w:val="24"/>
        </w:rPr>
        <w:t xml:space="preserve"> Döviz Kuru Riski</w:t>
      </w:r>
    </w:p>
    <w:p w:rsidR="00F521F0" w:rsidRDefault="00F521F0" w:rsidP="00F521F0">
      <w:pPr>
        <w:spacing w:line="240" w:lineRule="auto"/>
        <w:jc w:val="both"/>
        <w:rPr>
          <w:rFonts w:ascii="Times New Roman" w:hAnsi="Times New Roman"/>
          <w:sz w:val="24"/>
          <w:szCs w:val="24"/>
        </w:rPr>
      </w:pPr>
      <w:r>
        <w:rPr>
          <w:rFonts w:ascii="Times New Roman" w:hAnsi="Times New Roman"/>
          <w:sz w:val="24"/>
          <w:szCs w:val="24"/>
        </w:rPr>
        <w:t xml:space="preserve">Yabancı para riski hesaplamalarına altın da dahil edilmektedir. Öncelikle tek bir para birimindeki risk bulunmalıdır. Ayrıca, değişik para birimlerinde bulunan uzun ve kısa pozisyonların riski hesaplanır. Tek bir para biriminin net pozisyonu, net spot pozisyon, net </w:t>
      </w:r>
      <w:r>
        <w:rPr>
          <w:rFonts w:ascii="Times New Roman" w:hAnsi="Times New Roman"/>
          <w:sz w:val="24"/>
          <w:szCs w:val="24"/>
        </w:rPr>
        <w:lastRenderedPageBreak/>
        <w:t>vadeli pozisyon, garantiler, henüz oluşmamış fakat tamamıyla koruma (hedge) altına alınmış gelecek gelir ve giderler dikkate alınarak bulunur. Toplam yabancı para portföyünün riskinin hesaplanmasında iki yaklaşım vardır. lkinde tüm yabancı para pozisyonları günlük kurlarla, raporlamada kullanılan yerel para birimine dönüştürülerek toplanmakta ve %8’lik bir sermaye şartı aranmaktadır. Toplamada, uzun veya kısa pozisyonlardan büyük olanı alınır ve altın pozisyonu ayrıca eklenir. kinci yöntemde, bankaların içsel risk ölçüm modellerinden hesaplama yapılır.</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t>--</w:t>
      </w:r>
      <w:r w:rsidR="00F521F0">
        <w:rPr>
          <w:b/>
          <w:lang w:val="en-US"/>
        </w:rPr>
        <w:t xml:space="preserve"> Emtia Riski</w:t>
      </w:r>
    </w:p>
    <w:p w:rsidR="00F521F0" w:rsidRDefault="00F521F0" w:rsidP="00F521F0">
      <w:pPr>
        <w:pStyle w:val="AralkYok"/>
        <w:jc w:val="both"/>
        <w:rPr>
          <w:lang w:val="en-US"/>
        </w:rPr>
      </w:pPr>
      <w:r>
        <w:rPr>
          <w:lang w:val="en-US"/>
        </w:rPr>
        <w:t>Tarımsal ürünler, değerli metaller (altın hariç) ve petrol gibi mineraller ikincil piyasada işlem görebilmekte, bunların fiyatlarındaki dalgalanma döviz ve faizlere kıyasla daha yüksek olabilmektedir. Emtia pazarında yoğun işlem yapan kurumlara içsel risk ölçüm modelleri önerilmektedir. Finansal kurumların portföylerindeki pozisyonları aşağıdaki risklere yol açar:</w:t>
      </w:r>
    </w:p>
    <w:p w:rsidR="00F521F0" w:rsidRDefault="00F521F0" w:rsidP="00F521F0">
      <w:pPr>
        <w:pStyle w:val="AralkYok"/>
        <w:jc w:val="both"/>
        <w:rPr>
          <w:lang w:val="en-US"/>
        </w:rPr>
      </w:pPr>
      <w:r>
        <w:rPr>
          <w:lang w:val="en-US"/>
        </w:rPr>
        <w:t>Benzer ürünlerin fiyatları arasındaki ilişkinin değişmesi,</w:t>
      </w:r>
    </w:p>
    <w:p w:rsidR="00F521F0" w:rsidRDefault="00F521F0" w:rsidP="00F521F0">
      <w:pPr>
        <w:pStyle w:val="AralkYok"/>
        <w:jc w:val="both"/>
        <w:rPr>
          <w:lang w:val="en-US"/>
        </w:rPr>
      </w:pPr>
      <w:r>
        <w:rPr>
          <w:lang w:val="en-US"/>
        </w:rPr>
        <w:t>Faiz oranlarının değişmesi (taşıma maliyetiyle ilgili olarak),</w:t>
      </w:r>
    </w:p>
    <w:p w:rsidR="00F521F0" w:rsidRDefault="00F521F0" w:rsidP="00F521F0">
      <w:pPr>
        <w:pStyle w:val="AralkYok"/>
        <w:jc w:val="both"/>
        <w:rPr>
          <w:lang w:val="en-US"/>
        </w:rPr>
      </w:pPr>
      <w:r>
        <w:rPr>
          <w:lang w:val="en-US"/>
        </w:rPr>
        <w:t>Vadeli fiyat değişme riski</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t>--</w:t>
      </w:r>
      <w:r w:rsidR="00F521F0">
        <w:rPr>
          <w:b/>
          <w:lang w:val="en-US"/>
        </w:rPr>
        <w:t xml:space="preserve"> Opsiyon Riski</w:t>
      </w:r>
    </w:p>
    <w:p w:rsidR="00F521F0" w:rsidRDefault="00F521F0" w:rsidP="00F521F0">
      <w:pPr>
        <w:pStyle w:val="AralkYok"/>
        <w:jc w:val="both"/>
        <w:rPr>
          <w:lang w:val="en-US"/>
        </w:rPr>
      </w:pPr>
      <w:r>
        <w:rPr>
          <w:lang w:val="en-US"/>
        </w:rPr>
        <w:t xml:space="preserve">Opsiyon risklerinin hesabı için çeşitli alternatifler sunulmaktadır. Yalnızca satın alınan opsiyonları kullanan bankalar basit metodu kullanabilirler. Opsiyon çıkaran bankalar ise sunulan orta düzey hesaplama metotlarından (“Delta Plus” veya “Senaryo”) birini seçerler. Opsiyonlarda daha yoğun işlem yapan bankalar ve sigorta şirketleri için ise genelde içsel risk ölçüm modelleri önerilmektedir.  </w:t>
      </w:r>
    </w:p>
    <w:p w:rsidR="00F521F0" w:rsidRDefault="00F521F0" w:rsidP="00F521F0">
      <w:pPr>
        <w:pStyle w:val="AralkYok"/>
        <w:jc w:val="both"/>
        <w:rPr>
          <w:lang w:val="en-US"/>
        </w:rPr>
      </w:pPr>
    </w:p>
    <w:p w:rsidR="00F521F0" w:rsidRDefault="000E6815" w:rsidP="00F521F0">
      <w:pPr>
        <w:pStyle w:val="AralkYok"/>
        <w:jc w:val="both"/>
        <w:rPr>
          <w:b/>
          <w:lang w:val="en-US"/>
        </w:rPr>
      </w:pPr>
      <w:r>
        <w:rPr>
          <w:b/>
          <w:lang w:val="en-US"/>
        </w:rPr>
        <w:t>-</w:t>
      </w:r>
      <w:r w:rsidR="00F521F0">
        <w:rPr>
          <w:b/>
          <w:lang w:val="en-US"/>
        </w:rPr>
        <w:t xml:space="preserve"> KREDİ RİSKİ  </w:t>
      </w:r>
    </w:p>
    <w:p w:rsidR="00F521F0" w:rsidRDefault="00F521F0" w:rsidP="00F521F0">
      <w:pPr>
        <w:pStyle w:val="AralkYok"/>
        <w:jc w:val="both"/>
        <w:rPr>
          <w:lang w:val="en-US"/>
        </w:rPr>
      </w:pPr>
      <w:r>
        <w:rPr>
          <w:lang w:val="en-US"/>
        </w:rPr>
        <w:t>Finansal işlemlerde bulunan kişi veya kuruluşlardan birinin, karşı tarafa olan yükümlülüklerini yerine getirmemesinden kaynaklanan potansiyel kayıp ‘kredi riski’olarak adlandırılmaktadır. Bu risk genel olarak, borçlu tarafın alacaklı tarafa borcunu ödememesi olarak algılanmakla birlikte, finansal işlemlerde her zaman bir borçlu, bir de alacaklı taraf bulunması gerekmekte, bazı işlemlerde her iki tarafında karşılıklı yükümlülükleri söz konusu olmaktadır. Örneğin menkul kıymet piyasalarında yapılan işlemlerde, bir taraf belli bir süre içerisinde belli bir miktardaki parayı ödeme yükümlülüğü altına girerken, diğer tarafta aynı süre içinde belli miktardaki menkul kıymeti teslim etme yükümlülüğünü üstlenmektedir. Taraflardan herhangi birinin yükümlülüğünü yerine getirmemesi, karşı taraf için bir risk unsuru oluşturmaktadır. Benzer şekilde, vadeli döviz piyasalarında da taraflardan biri belli bir döviz cinsi, diğeri de farklı bir döviz cinsi üzerinden ödeme yapmayı taahhüt etmekte, her iki taraf da karşı tarafın vadesinde ödemeyi yapmaması riskiyle karşı karşıya kalmaktadır.</w:t>
      </w:r>
    </w:p>
    <w:p w:rsidR="00F521F0" w:rsidRDefault="000E6815" w:rsidP="00F521F0">
      <w:pPr>
        <w:pStyle w:val="AralkYok"/>
        <w:jc w:val="both"/>
        <w:rPr>
          <w:b/>
          <w:lang w:val="en-US"/>
        </w:rPr>
      </w:pPr>
      <w:r>
        <w:rPr>
          <w:b/>
          <w:lang w:val="en-US"/>
        </w:rPr>
        <w:lastRenderedPageBreak/>
        <w:t>-</w:t>
      </w:r>
      <w:r w:rsidR="00F521F0">
        <w:rPr>
          <w:b/>
          <w:lang w:val="en-US"/>
        </w:rPr>
        <w:t xml:space="preserve"> OPERASYONEL RİSKLER </w:t>
      </w:r>
    </w:p>
    <w:p w:rsidR="00F521F0" w:rsidRDefault="00F521F0" w:rsidP="00F521F0">
      <w:pPr>
        <w:pStyle w:val="AralkYok"/>
        <w:jc w:val="both"/>
        <w:rPr>
          <w:lang w:val="en-US"/>
        </w:rPr>
      </w:pPr>
      <w:r>
        <w:rPr>
          <w:lang w:val="en-US"/>
        </w:rPr>
        <w:t xml:space="preserve">En eski ancak hakkında en az şey bilinen temel bir risk olarak operasyonel risk özellikle 1990’lı yıllarda yaşanan yüksek maliyetli kayıp olayları ile gündeme gelmiştir. Kapsamı ve potansiyel etkileri konusunda son yıllarda gelişen bilinçle, Basel Bankacılık Denetim Komitesi, Yeni Basel Sermaye Uzlaşısında operasyonel riski de yasal sermaye yükümlülüğüne tabi tutulan kredi ve piyasa riskine dâhil etmiştir. Operasyonel riskin sayısallaştırılarak ölçülmesi ve maruz bulunulan riskler için yasal  sermaye yükümlülüğü hesaplanması yükümlülüğü risk ölçüm yaklaşımlarının  geliştirilmesi sürecini de hızlandırmıştır. Basel Komitesi, operasyonel riskler için yasal sermaye hesaplanmasında basitten gelişmişe doğru ilerleyen üç ölçüm yaklaşımı belirlemiştir. Komite, riski ölçmeksizin yalnızca sermaye hesaplamasına odaklanan ilk iki basit yaklaşım hakkında detaylı bilgiler vererek, doğrudan risk ölçümüne odaklanan ileri ölçüm yaklaşımları konusunda farklı bir yaklaşım benimsemiştir. Komite, operasyonel risk ölçümünün çok yeni ve gelişmekte olan bir alan olduğunu göz önünde bulundurarak yeni ölçüm yaklaşımlarının geliştirilmesini teşvik etmektedir. Operasyonel riskler hakkında bilgi sahibi olabilmek ve riski yönetebilmek için bu riskin ölçümü önkoşul olarak karşımıza çıkmaktadır. Riski yönetebilmek için öncelikle risk verilerine ve bu verileri kullanan matematiksel olarak sağlam yöntemlere ihtiyaç bulunmaktadır. Risk ölçümü için geliştirilen gelişmiş yaklaşımlardan Kayıp Dağılımları Yöntemi (KDY), doğrudan risk verileri kullanılarak operasyonel risk ölçümü gerçekleştirilmesine imkân veren ve geliştirilmeye devam edilen bir ölçüm yaklaşımı olarak öne çıkmaktadır. </w:t>
      </w:r>
    </w:p>
    <w:p w:rsidR="00F521F0" w:rsidRDefault="00F521F0" w:rsidP="00F521F0">
      <w:pPr>
        <w:pStyle w:val="AralkYok"/>
        <w:jc w:val="both"/>
        <w:rPr>
          <w:b/>
          <w:lang w:val="en-US"/>
        </w:rPr>
      </w:pPr>
    </w:p>
    <w:p w:rsidR="00F521F0" w:rsidRDefault="000E6815" w:rsidP="00F521F0">
      <w:pPr>
        <w:pStyle w:val="AralkYok"/>
        <w:jc w:val="both"/>
        <w:rPr>
          <w:b/>
          <w:lang w:val="en-US"/>
        </w:rPr>
      </w:pPr>
      <w:r>
        <w:rPr>
          <w:b/>
          <w:lang w:val="en-US"/>
        </w:rPr>
        <w:t>-</w:t>
      </w:r>
      <w:r w:rsidR="00F521F0">
        <w:rPr>
          <w:b/>
          <w:lang w:val="en-US"/>
        </w:rPr>
        <w:t xml:space="preserve"> SİSTEMİK RİSKLER </w:t>
      </w:r>
    </w:p>
    <w:p w:rsidR="00F521F0" w:rsidRDefault="00F521F0" w:rsidP="00F521F0">
      <w:pPr>
        <w:pStyle w:val="AralkYok"/>
        <w:jc w:val="both"/>
        <w:rPr>
          <w:lang w:val="en-US"/>
        </w:rPr>
      </w:pPr>
      <w:r>
        <w:rPr>
          <w:lang w:val="en-US"/>
        </w:rPr>
        <w:t xml:space="preserve">Globalleşme ve ulusların karşılıklı bağımlılığı ilkesi günümüz dünyasının öne çıkan özellikleridir. Bu yapıda finansal krizlerin son zamanlarda aldığı yapısal ve bulaşıcı hal dikkat çekici olmaya başlamıştır. Hem finansal hem de reel sektörde çeşitli şiddetlerde etkisini gösteren gelişmekte olan ülke ekonomilerindeki mali krizler, özellikle ‘bulaşma etkisi’ nedeniyle dünya coğrafyasında hızla ilerleyerek yeni çöküş ve finansal yıkımlar yaratmaktadır. Konu ülkemiz açısından da ziyadesiyle önemlidir çünkü bizim mali piyasalarımız da zaman zaman bu tip risklerin gerçekleşmesine ve sistemik krizlerin yaşanmasına sahne olmaktadır. Sistemik risk ve kriz kavramları ilk kez 1987 Borsa Krizini takiben yapılan çalışmalar sırasında ve öncelikle OECD tarafından kullanılmıştır. Bu çalışmalarda, sistemik risk ve sistemik kriz kavramları tartışılırken aşırı spekülasyon ve toplumsal çılgınlık gibi oluşumların kısmi etkileri de göz önüne alınmakla beraber, asıl olarak sistemin kendisinde yoğunlaşılmakta ve finansal krizlerin sebepleri bu bağlamda aranmaktadır. Sistemik kriz, (ekonomik bir) sistemin çalışmasını ciddi bir biçimde bozan ve son aşamada sistemde tam bir çöküşe sebep olan rahatsızlıktır. Bir başka tanıma göre sistemik risk bütün katılımcıların, grup olarak katlanmaları gereken, piyasalardaki kurumsal ve  yapısal düzenlemelerden kaynaklanan finansal risktir. </w:t>
      </w:r>
    </w:p>
    <w:sectPr w:rsidR="00F521F0" w:rsidSect="006330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B2" w:rsidRDefault="00954FB2" w:rsidP="000E6815">
      <w:pPr>
        <w:spacing w:after="0" w:line="240" w:lineRule="auto"/>
      </w:pPr>
      <w:r>
        <w:separator/>
      </w:r>
    </w:p>
  </w:endnote>
  <w:endnote w:type="continuationSeparator" w:id="0">
    <w:p w:rsidR="00954FB2" w:rsidRDefault="00954FB2" w:rsidP="000E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B2" w:rsidRDefault="00954FB2" w:rsidP="000E6815">
      <w:pPr>
        <w:spacing w:after="0" w:line="240" w:lineRule="auto"/>
      </w:pPr>
      <w:r>
        <w:separator/>
      </w:r>
    </w:p>
  </w:footnote>
  <w:footnote w:type="continuationSeparator" w:id="0">
    <w:p w:rsidR="00954FB2" w:rsidRDefault="00954FB2" w:rsidP="000E6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0E6815"/>
    <w:rsid w:val="00527370"/>
    <w:rsid w:val="00633031"/>
    <w:rsid w:val="00954FB2"/>
    <w:rsid w:val="00B13426"/>
    <w:rsid w:val="00BA4437"/>
    <w:rsid w:val="00BB14C4"/>
    <w:rsid w:val="00D74AE7"/>
    <w:rsid w:val="00F35C08"/>
    <w:rsid w:val="00F52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D6404-92CB-4927-A648-01F78E88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rsid w:val="00F521F0"/>
    <w:rPr>
      <w:rFonts w:ascii="Calibri" w:eastAsia="Times New Roman" w:hAnsi="Calibri" w:cs="Times New Roman"/>
      <w:lang w:val="en-US" w:bidi="en-US"/>
    </w:rPr>
  </w:style>
  <w:style w:type="paragraph" w:styleId="Altbilgi">
    <w:name w:val="footer"/>
    <w:basedOn w:val="Normal"/>
    <w:link w:val="AltbilgiChar"/>
    <w:uiPriority w:val="99"/>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21F0"/>
    <w:rPr>
      <w:rFonts w:ascii="Calibri" w:eastAsia="Times New Roman" w:hAnsi="Calibri" w:cs="Times New Roman"/>
      <w:lang w:val="en-US" w:bidi="en-US"/>
    </w:rPr>
  </w:style>
  <w:style w:type="paragraph" w:styleId="stbilgi">
    <w:name w:val="header"/>
    <w:basedOn w:val="Normal"/>
    <w:link w:val="stbilgiChar"/>
    <w:uiPriority w:val="99"/>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3392</Words>
  <Characters>19337</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2017-02-14T08:41:00Z</dcterms:created>
  <dcterms:modified xsi:type="dcterms:W3CDTF">2017-02-14T08:41:00Z</dcterms:modified>
</cp:coreProperties>
</file>