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F0" w:rsidRPr="001523F0" w:rsidRDefault="00F521F0" w:rsidP="00F521F0">
      <w:pPr>
        <w:pStyle w:val="AralkYok"/>
        <w:jc w:val="both"/>
        <w:rPr>
          <w:b/>
          <w:sz w:val="36"/>
          <w:szCs w:val="36"/>
          <w:u w:val="single"/>
          <w:lang w:val="en-US"/>
        </w:rPr>
      </w:pPr>
      <w:bookmarkStart w:id="0" w:name="_GoBack"/>
      <w:bookmarkEnd w:id="0"/>
      <w:r w:rsidRPr="001523F0">
        <w:rPr>
          <w:b/>
          <w:sz w:val="36"/>
          <w:szCs w:val="36"/>
          <w:u w:val="single"/>
          <w:lang w:val="en-US"/>
        </w:rPr>
        <w:t xml:space="preserve">REASÜRANS  </w:t>
      </w:r>
    </w:p>
    <w:p w:rsidR="00F521F0" w:rsidRDefault="00F521F0" w:rsidP="00F521F0">
      <w:pPr>
        <w:pStyle w:val="AralkYok"/>
        <w:jc w:val="both"/>
        <w:rPr>
          <w:lang w:val="en-US"/>
        </w:rPr>
      </w:pPr>
      <w:r>
        <w:rPr>
          <w:lang w:val="en-US"/>
        </w:rPr>
        <w:t xml:space="preserve">Reasürans “tekrar sigorta” anlamına gelir. Sigorta şirketlerinin, hayat ve hayat dışı branşlara ait </w:t>
      </w:r>
      <w:proofErr w:type="gramStart"/>
      <w:r>
        <w:rPr>
          <w:lang w:val="en-US"/>
        </w:rPr>
        <w:t>kabul</w:t>
      </w:r>
      <w:proofErr w:type="gramEnd"/>
      <w:r>
        <w:rPr>
          <w:lang w:val="en-US"/>
        </w:rPr>
        <w:t xml:space="preserve"> ettikleri risklerin tamamını üstlenmeleri mümkün değildir. Bu nedenle, prim karşılığı üstlendikleri rizikoların belirli bir oranını başka bir sigorta şirketine devrederler ki, bu işleme </w:t>
      </w:r>
      <w:r>
        <w:rPr>
          <w:u w:val="single"/>
          <w:lang w:val="en-US"/>
        </w:rPr>
        <w:t>reasürans işlemi</w:t>
      </w:r>
      <w:r>
        <w:rPr>
          <w:lang w:val="en-US"/>
        </w:rPr>
        <w:t xml:space="preserve">, işlemi üstlenen şirkete, </w:t>
      </w:r>
      <w:r>
        <w:rPr>
          <w:u w:val="single"/>
          <w:lang w:val="en-US"/>
        </w:rPr>
        <w:t>reasürans şirketi,</w:t>
      </w:r>
      <w:r>
        <w:rPr>
          <w:lang w:val="en-US"/>
        </w:rPr>
        <w:t xml:space="preserve"> devreden şirkete ise, </w:t>
      </w:r>
      <w:r>
        <w:rPr>
          <w:u w:val="single"/>
          <w:lang w:val="en-US"/>
        </w:rPr>
        <w:t>sedan şirket</w:t>
      </w:r>
      <w:r>
        <w:rPr>
          <w:lang w:val="en-US"/>
        </w:rPr>
        <w:t xml:space="preserve"> denilmektedir. Reasürans işlemleri, sigorta şirketlerince veya reasürans işlemlerinde aracılık yapan, riziko ile ilgili bilgiler sağlayarak hizmetleri karşılığında komisyon </w:t>
      </w:r>
      <w:proofErr w:type="gramStart"/>
      <w:r>
        <w:rPr>
          <w:lang w:val="en-US"/>
        </w:rPr>
        <w:t>alan</w:t>
      </w:r>
      <w:proofErr w:type="gramEnd"/>
      <w:r>
        <w:rPr>
          <w:lang w:val="en-US"/>
        </w:rPr>
        <w:t xml:space="preserve">, konularında uzman olan reasürans aracılarınca yapılmaktadır. Sigorta şirketleri, sigorta sözleşmeleri ile üstlendikleri sorumlulukların bir bölümünü rantabilite hesapları sonucu kendi üzerlerinde tutmakta, fazlasını sigorta tekniğinin gereği olarak reasürans yoluyla başka sigorta şirketlerine devretmektedir. Sigorta şirketlerinin, büyük hasar potansiyeline sahip risklerin yükünü azaltmak, </w:t>
      </w:r>
      <w:proofErr w:type="gramStart"/>
      <w:r>
        <w:rPr>
          <w:lang w:val="en-US"/>
        </w:rPr>
        <w:t>mali</w:t>
      </w:r>
      <w:proofErr w:type="gramEnd"/>
      <w:r>
        <w:rPr>
          <w:lang w:val="en-US"/>
        </w:rPr>
        <w:t xml:space="preserve"> güçlerini korumak amacıyla teknik hesaplamalar sonucu bünyelerinde tutacakları risk miktarı konservasyon (saklama payı) olarak adlandırılmaktadır. Konservasyon, şirketin her bir hasarda ödemeyi göze alabileceği gerçek kapasitesini ifade </w:t>
      </w:r>
      <w:proofErr w:type="gramStart"/>
      <w:r>
        <w:rPr>
          <w:lang w:val="en-US"/>
        </w:rPr>
        <w:t>eder</w:t>
      </w:r>
      <w:proofErr w:type="gramEnd"/>
      <w:r>
        <w:rPr>
          <w:lang w:val="en-US"/>
        </w:rPr>
        <w:t xml:space="preserve">. Konservasyon, reasürans devrinden sonra sigorta şirketinin üzerinde kalan risk tutarı veya yüzdesi şeklinde de tanımlanabilir. </w:t>
      </w:r>
    </w:p>
    <w:p w:rsidR="00F521F0" w:rsidRDefault="00F521F0" w:rsidP="00F521F0">
      <w:pPr>
        <w:pStyle w:val="AralkYok"/>
        <w:jc w:val="both"/>
        <w:rPr>
          <w:lang w:val="en-US"/>
        </w:rPr>
      </w:pPr>
      <w:r>
        <w:rPr>
          <w:lang w:val="en-US"/>
        </w:rPr>
        <w:t xml:space="preserve">Sedan şirketlerin konservasyonlarını tespit ederken kullanacakları belirli bir formülleri yoktur. Genellikle; portföy büyüklüğü ve karlılığı, prim gelirleri, hasar durumu ve geçmiş yıl tecrübeleri, reasürans maliyeti ve politikası, sermaye ve rezervleri, yatırım politikası ve şirketin likit varlıkları göz önüne alınabilecek faktörler arasındadır. Uluslararası sigorta sektöründe </w:t>
      </w:r>
      <w:proofErr w:type="gramStart"/>
      <w:r>
        <w:rPr>
          <w:lang w:val="en-US"/>
        </w:rPr>
        <w:t>kabul</w:t>
      </w:r>
      <w:proofErr w:type="gramEnd"/>
      <w:r>
        <w:rPr>
          <w:lang w:val="en-US"/>
        </w:rPr>
        <w:t xml:space="preserve"> edilen standartlara göre, risk ve hasar başına azami konservasyonun özkaynakların %1 ile %5 arasında olması gerektiği öngörülmektedir. Önemli olan, iyi bir risk seçimi ile konservasyon oranlarının yüksek olarak belirlenmesidir. Aksi takdirde, sigorta şirketleri adeta komisyoncu görevini üstlenmiş olurlar. Direkt sigortacı ne </w:t>
      </w:r>
      <w:proofErr w:type="gramStart"/>
      <w:r>
        <w:rPr>
          <w:lang w:val="en-US"/>
        </w:rPr>
        <w:t>kadar</w:t>
      </w:r>
      <w:proofErr w:type="gramEnd"/>
      <w:r>
        <w:rPr>
          <w:lang w:val="en-US"/>
        </w:rPr>
        <w:t xml:space="preserve"> fazla fon ve rezervlere sahip olursa tutabileceği konservasyon miktarı da o derece fazla olur. Aynı şekilde, prim oranlarının genel seviyesindeki artış ve azalış konservasyon miktarının belirlenmesinde etkin bir rol oynar. Yine, direkt sigortacının portföyü içindeki büyük hasarların artması ya da azalması, konservasyonun belirlenmesinde dikkat edilmesi gereken unsurların başında gelmektedir. </w:t>
      </w:r>
    </w:p>
    <w:p w:rsidR="00F521F0" w:rsidRDefault="00F521F0" w:rsidP="00F521F0">
      <w:pPr>
        <w:pStyle w:val="AralkYok"/>
        <w:jc w:val="both"/>
        <w:rPr>
          <w:lang w:val="en-US"/>
        </w:rPr>
      </w:pPr>
      <w:r>
        <w:rPr>
          <w:lang w:val="en-US"/>
        </w:rPr>
        <w:t>________________________________________________________________________</w:t>
      </w:r>
    </w:p>
    <w:p w:rsidR="00F521F0" w:rsidRDefault="00F521F0" w:rsidP="00F521F0">
      <w:pPr>
        <w:pStyle w:val="AralkYok"/>
        <w:jc w:val="both"/>
        <w:rPr>
          <w:lang w:val="en-US"/>
        </w:rPr>
      </w:pPr>
      <w:r>
        <w:rPr>
          <w:lang w:val="en-US"/>
        </w:rPr>
        <w:t xml:space="preserve">Sigorta şirketleri konservasyon oranını, sermaye ve yedek akçelerine göre, Hazine Dış Ticaret Müsteşarlığına tasdik ettirmek zorundadırlar. Sigorta şirketleri belirlenen bu oranlardan daha fazla riski üzerlerine alamazlar fakat bu oranın altında dilediği gibi tespit yapabilir. 7397 sayılı sigorta şirketlerinin murakebesi hakkındaki kanuna göre, bu oranların tespiti Bakanlar Kurulu’na verilmiştir. </w:t>
      </w:r>
    </w:p>
    <w:p w:rsidR="00F521F0" w:rsidRDefault="00F521F0" w:rsidP="00F521F0">
      <w:pPr>
        <w:pStyle w:val="AralkYok"/>
        <w:jc w:val="both"/>
        <w:rPr>
          <w:lang w:val="en-US"/>
        </w:rPr>
      </w:pPr>
      <w:r>
        <w:rPr>
          <w:lang w:val="en-US"/>
        </w:rPr>
        <w:t>________________________________________________________________________</w:t>
      </w:r>
    </w:p>
    <w:p w:rsidR="00F521F0" w:rsidRDefault="00F521F0" w:rsidP="00F521F0">
      <w:pPr>
        <w:pStyle w:val="AralkYok"/>
        <w:jc w:val="both"/>
        <w:rPr>
          <w:lang w:val="en-US"/>
        </w:rPr>
      </w:pPr>
      <w:r>
        <w:rPr>
          <w:lang w:val="en-US"/>
        </w:rPr>
        <w:t xml:space="preserve">Örneğin; bir fabrikaya ait çeşitli binalar birbirinden oldukça uzak bir yerleşime sahip olabilirler veya duvarlar arasında yanıcı özelliği bulunmayan maddelerin kullanılmış olması ve benzeri gibi hususlar, bir hadisede sigorta bedelinin tamamının tazmin edilmesi ihtimalini </w:t>
      </w:r>
      <w:r>
        <w:rPr>
          <w:lang w:val="en-US"/>
        </w:rPr>
        <w:lastRenderedPageBreak/>
        <w:t xml:space="preserve">düşürebilir. Sedan şirket böyle durumlarda, hem kendi konservasyon payını hem de reasürans şirketine yükleyebileceği azami sorumluluk bedellerini, hasar ihtimalinin yüksekliği ve düşüklüğüne göre, değişik oranlarda tespit etmek serbestisine sahip olmak isteyebilir. Bu tür bir uygulamayı tercih </w:t>
      </w:r>
      <w:proofErr w:type="gramStart"/>
      <w:r>
        <w:rPr>
          <w:lang w:val="en-US"/>
        </w:rPr>
        <w:t>eden</w:t>
      </w:r>
      <w:proofErr w:type="gramEnd"/>
      <w:r>
        <w:rPr>
          <w:lang w:val="en-US"/>
        </w:rPr>
        <w:t xml:space="preserve"> sigortacılar, tek bir riskin uğrayabileceği azami hasarı önceden tahmin edebilmek için bazı yöntem ve formüller geliştirmişlerdir. Son zamanlarda, “Tahmini Azami Hasar (PML)” en yaygın kullanılan kavram haline gelmiş olup, bununla “tek bir riskin uğrayabileceği hasardan ötürü sigortacının ödeyebileceği azami tazminat miktarı tahmin edilerek, konservasyon payının ve treteye yüklenebilecek azami miktarının bu tahmine dayalı olarak tespit edilmesi" kastedilmektedir. Ancak</w:t>
      </w:r>
      <w:proofErr w:type="gramStart"/>
      <w:r>
        <w:rPr>
          <w:lang w:val="en-US"/>
        </w:rPr>
        <w:t>,tahmini</w:t>
      </w:r>
      <w:proofErr w:type="gramEnd"/>
      <w:r>
        <w:rPr>
          <w:lang w:val="en-US"/>
        </w:rPr>
        <w:t xml:space="preserve"> azami hasar ihtimalinin hesabı, rizikonun teknik değerlendirmesi esasına dayanmaktadır. Dolayısıyla, hatalı değerlendirme olasılığı her zaman mevcuttur. Sigorta şirketlerinin bu konuda, teknik bilgi ve tecrübeye sahip uzman kişilere ihtiyaçları vardır. Bir hasar meydana geldikten sonra, tahmini azami hasar miktarının çok düşük tespit edilmiş olduğu ortaya çıkarsa bunun sonucu olarak, hem sedan şirket hem de reasürör anlaşma (trete) düzenlendiği zaman öngörülen miktarın çok üstünde tazminat ödemek zorunda kalabilir. Bu şekilde yapılan yanlış bir hesaplama, sigorta şirketlerinin </w:t>
      </w:r>
      <w:proofErr w:type="gramStart"/>
      <w:r>
        <w:rPr>
          <w:lang w:val="en-US"/>
        </w:rPr>
        <w:t>mali</w:t>
      </w:r>
      <w:proofErr w:type="gramEnd"/>
      <w:r>
        <w:rPr>
          <w:lang w:val="en-US"/>
        </w:rPr>
        <w:t xml:space="preserve"> yapılarını olumsuz etkilemekte ve ödeme güçlüğü yaratmaktadır. Bu tür hatalara karşı sigortacıların alacağı önlem, tüm portföyü kapsayan bir hasar fazlası anlaşması yapmaktır. Hasar ihtimalinin çok yüksek tespit edilmesi durumunda ise, gereksiz yere işin fazlası reasüröre devredilecek ya da yeni iş </w:t>
      </w:r>
      <w:proofErr w:type="gramStart"/>
      <w:r>
        <w:rPr>
          <w:lang w:val="en-US"/>
        </w:rPr>
        <w:t>kabul</w:t>
      </w:r>
      <w:proofErr w:type="gramEnd"/>
      <w:r>
        <w:rPr>
          <w:lang w:val="en-US"/>
        </w:rPr>
        <w:t xml:space="preserve"> edilmeyecektir. Tahmini azami hasar ya toplam sigorta bedelinin bir yüzdesi veya mutlak miktar olarak ifade edilir. Örneğin 100 liralık sigorta bedelinin 20 lirası ya da %20’si olarak belirlenebilir. </w:t>
      </w:r>
    </w:p>
    <w:p w:rsidR="00F521F0" w:rsidRDefault="00F521F0" w:rsidP="00F521F0">
      <w:pPr>
        <w:pStyle w:val="AralkYok"/>
        <w:jc w:val="both"/>
        <w:rPr>
          <w:lang w:val="en-US"/>
        </w:rPr>
      </w:pPr>
      <w:r>
        <w:rPr>
          <w:lang w:val="en-US"/>
        </w:rPr>
        <w:t xml:space="preserve">Sigorta mevzuatında, reasürans işlemlerinin denetimine fazla yer verilmemiş, mümkün olduğunca bir serbesti tanınmıştır. Reasürans konusunda en kısıtlayıcı düzenleme, konservasyon tablolarının tasdiki olmakla birlikte, bunun pratikte çok etkili bir yöntem olmadığı görülmektedir. Reasürans konusunda düzenleyici kurulların çerçevesinin mevzuatta oluşturulmaması, bu konuda standart denetim eksikliğinin de temel nedenidir. Bu açıdan, reasürans anlaşmalarının ve ihtiyacının en azından bir yönetmelik düzeyinde mevzuat alt yapısına kavuşturulması gerekmektedir. Şirketin taşıyacağı konservasyon riski, alması gereken hasar fazlası anlaşması gibi temel ve minimum hususların mevzuatta belirtilmesi gerekmektedir. Konservasyonda kalan risk toplamı ile sermaye tutarı arasında irtibat kurmak, hasar portföy yapısına göre hasar fazlası anlaşmasını zorunlu kılmak gibi düzenlemelere ihtiyaç vardır. Diğer taraftan, her branşta şirketin üstlenebileceği toplam risk sınırı ile likit varlıkları arasındaki ilişki, bir olaydan dolayı şirketin toplam maksimum beklenen hasar tutarının ne ile irtibatlandırılacağı, reasürans ihtiyacının nasıl belirleneceği, şirketin reasürans açısından finansal zayıflığının nasıl ölçüleceğine dair çerçevenin, aktüeryal hesapsal yöntemlerinin belirlenmesi gerekir. Reasürans işlemleri; otomatik reasürans sözleşmeleri, isteğe bağlı reasürans, karşılıklı iş alışverişi ve pool anlaşmaları olarak uygulanmaktadır. </w:t>
      </w:r>
    </w:p>
    <w:p w:rsidR="00F521F0" w:rsidRDefault="00F521F0" w:rsidP="00F521F0">
      <w:pPr>
        <w:pStyle w:val="AralkYok"/>
        <w:jc w:val="both"/>
        <w:rPr>
          <w:lang w:val="en-US"/>
        </w:rPr>
      </w:pPr>
    </w:p>
    <w:p w:rsidR="00F521F0" w:rsidRDefault="00F521F0" w:rsidP="00F521F0">
      <w:pPr>
        <w:pStyle w:val="AralkYok"/>
        <w:jc w:val="both"/>
        <w:rPr>
          <w:b/>
          <w:lang w:val="en-US"/>
        </w:rPr>
      </w:pPr>
      <w:r>
        <w:rPr>
          <w:b/>
          <w:lang w:val="en-US"/>
        </w:rPr>
        <w:t xml:space="preserve">Otomatik Reasürans Anlaşmaları </w:t>
      </w:r>
    </w:p>
    <w:p w:rsidR="00F521F0" w:rsidRDefault="00F521F0" w:rsidP="00F521F0">
      <w:pPr>
        <w:pStyle w:val="AralkYok"/>
        <w:jc w:val="both"/>
        <w:rPr>
          <w:lang w:val="en-US"/>
        </w:rPr>
      </w:pPr>
      <w:r>
        <w:rPr>
          <w:lang w:val="en-US"/>
        </w:rPr>
        <w:t xml:space="preserve">Reasürans verecek ve alacak olan taraflar, başlangıçta yaptıkları anlaşmayla, bir yıllık bir süre içerisinde aralarındaki alışverişin bütün esaslarını belirleyerek, reasürans ihtiyacı olan şirketin </w:t>
      </w:r>
      <w:r>
        <w:rPr>
          <w:lang w:val="en-US"/>
        </w:rPr>
        <w:lastRenderedPageBreak/>
        <w:t xml:space="preserve">otomatik bir teminata sahip olmasını mümkün kılmaktadır. Saptanan sınırlar ve esaslar içinde reasürans anlaşmasının kapsamına giren bütün rizikolar reasürör şirketçe peşin olarak </w:t>
      </w:r>
      <w:proofErr w:type="gramStart"/>
      <w:r>
        <w:rPr>
          <w:lang w:val="en-US"/>
        </w:rPr>
        <w:t>kabul</w:t>
      </w:r>
      <w:proofErr w:type="gramEnd"/>
      <w:r>
        <w:rPr>
          <w:lang w:val="en-US"/>
        </w:rPr>
        <w:t xml:space="preserve"> edilmiş demektir. Otomatik reasürans yolu ile yapılan reasürans da iki bölümde incelenmektedir.</w:t>
      </w:r>
    </w:p>
    <w:p w:rsidR="00F521F0" w:rsidRDefault="00F521F0" w:rsidP="00F521F0">
      <w:pPr>
        <w:pStyle w:val="AralkYok"/>
        <w:jc w:val="both"/>
        <w:rPr>
          <w:lang w:val="en-US"/>
        </w:rPr>
      </w:pPr>
    </w:p>
    <w:p w:rsidR="00F521F0" w:rsidRDefault="00F521F0" w:rsidP="00F521F0">
      <w:pPr>
        <w:pStyle w:val="AralkYok"/>
        <w:jc w:val="both"/>
        <w:rPr>
          <w:b/>
          <w:lang w:val="en-US"/>
        </w:rPr>
      </w:pPr>
      <w:r>
        <w:rPr>
          <w:b/>
          <w:lang w:val="en-US"/>
        </w:rPr>
        <w:t xml:space="preserve">1. Bölüşmeli Reasürans </w:t>
      </w:r>
    </w:p>
    <w:p w:rsidR="00F521F0" w:rsidRDefault="00F521F0" w:rsidP="00F521F0">
      <w:pPr>
        <w:pStyle w:val="AralkYok"/>
        <w:jc w:val="both"/>
        <w:rPr>
          <w:lang w:val="en-US"/>
        </w:rPr>
      </w:pPr>
      <w:r>
        <w:rPr>
          <w:lang w:val="en-US"/>
        </w:rPr>
        <w:t xml:space="preserve">Bölüşmeli reasürans sözleşmesi; sedan ve reasürörün yaptıkları bir anlaşma ile belirli bir branştaki işlerin belirlenen oranını ya da sedanın konservasyon payını aşan tutarının belli bir yüzdesini, reasürörlere otomatik olarak devrini öngörmektedir. Zorunlu reasürans da denilen bölüşmeli reasüransta, önceden yapılan anlaşmaya dayanarak, öngörülen oranlar üzerinden sedan prim (sesyon) vermek zorundadır. Reasürör şirket de, anlaşma koşulları çerçevesinde reasüransı yapılan rizikoyu zorunlu olarak </w:t>
      </w:r>
      <w:proofErr w:type="gramStart"/>
      <w:r>
        <w:rPr>
          <w:lang w:val="en-US"/>
        </w:rPr>
        <w:t>kabul</w:t>
      </w:r>
      <w:proofErr w:type="gramEnd"/>
      <w:r>
        <w:rPr>
          <w:lang w:val="en-US"/>
        </w:rPr>
        <w:t xml:space="preserve"> eder. Bu tip uygulama, önceden yapılan sözleşmenin varlığı nedeniyle özellikle sedan şirketi rahatlattığından tüm sigorta taleplerini cevaplandırabilir. Ancak, öncelikle, Türkiye’de faaliyetlerini sürdüren sigorta şirketleri, Türkiye’den sağladıkları direkt sigortaların konservasyonlarını aşan kısmının belirli bir oranını Milli Reasürans’a devretmek zorundadırlar. Buna göre, Türkiye’de faaliyette bulunan tüm sigorta şirketleri, sermaye ve yedek akçeleri toplamına göre, Hazine Müsteşarlığı’nca onaylanan konservasyon payı tablolarına uygun olarak üzerlerinde bilfiil net olarak tuttukları sigorta miktarını aşan ve yurt dışına devir (reasürans) konusu olan (hayat sigortaları hariç) her türlü reasürans sözleşme ve anlaşmalarının (bölüşmeli anlaşma, bölüşmeli olmayan anlaşmalar–hasar fazlası, aşkın hasar oranlı ve benzeri, ihtiyari ve diğer) %20’sini, Yurtiçi Reasürans Havuzu Sistemi’ne devredeceklerdir. Bölüşmeli reasürans </w:t>
      </w:r>
      <w:r>
        <w:rPr>
          <w:b/>
          <w:u w:val="single"/>
          <w:lang w:val="en-US"/>
        </w:rPr>
        <w:t>eksedan</w:t>
      </w:r>
      <w:r>
        <w:rPr>
          <w:lang w:val="en-US"/>
        </w:rPr>
        <w:t xml:space="preserve"> ve </w:t>
      </w:r>
      <w:r>
        <w:rPr>
          <w:b/>
          <w:u w:val="single"/>
          <w:lang w:val="en-US"/>
        </w:rPr>
        <w:t>kotpar</w:t>
      </w:r>
      <w:r>
        <w:rPr>
          <w:lang w:val="en-US"/>
        </w:rPr>
        <w:t xml:space="preserve"> şeklinde uygulanır.</w:t>
      </w:r>
    </w:p>
    <w:p w:rsidR="00F521F0" w:rsidRDefault="00F521F0" w:rsidP="00F521F0">
      <w:pPr>
        <w:pStyle w:val="AralkYok"/>
        <w:jc w:val="both"/>
        <w:rPr>
          <w:b/>
          <w:lang w:val="en-US"/>
        </w:rPr>
      </w:pPr>
    </w:p>
    <w:p w:rsidR="00F521F0" w:rsidRDefault="00F521F0" w:rsidP="00F521F0">
      <w:pPr>
        <w:pStyle w:val="AralkYok"/>
        <w:jc w:val="both"/>
        <w:rPr>
          <w:b/>
          <w:lang w:val="en-US"/>
        </w:rPr>
      </w:pPr>
      <w:r>
        <w:rPr>
          <w:b/>
          <w:lang w:val="en-US"/>
        </w:rPr>
        <w:t xml:space="preserve">A. Eksedan Sözleşmeleri (Aşkın Hasar) </w:t>
      </w:r>
    </w:p>
    <w:p w:rsidR="00F521F0" w:rsidRDefault="00F521F0" w:rsidP="00F521F0">
      <w:pPr>
        <w:pStyle w:val="AralkYok"/>
        <w:jc w:val="both"/>
        <w:rPr>
          <w:lang w:val="en-US"/>
        </w:rPr>
      </w:pPr>
      <w:r>
        <w:rPr>
          <w:lang w:val="en-US"/>
        </w:rPr>
        <w:t xml:space="preserve">Sedan şirketin, konservasyonunu aşan bütün sigorta primlerinden, anlaşma limitine </w:t>
      </w:r>
      <w:proofErr w:type="gramStart"/>
      <w:r>
        <w:rPr>
          <w:lang w:val="en-US"/>
        </w:rPr>
        <w:t>kadar</w:t>
      </w:r>
      <w:proofErr w:type="gramEnd"/>
      <w:r>
        <w:rPr>
          <w:lang w:val="en-US"/>
        </w:rPr>
        <w:t xml:space="preserve"> reasürör belirli bir pay almak sedan şirket de devretmek zorundadır. Kotpar anlaşmasında reasürör, her bir poliçeye iştirak ederken eksedan anlaşmasında, sedanın üzerinde tuttuğu kısmı aşan miktarlar için devreye girer. Bu sistemin üstünlüğü, sedanın her rizikoyu reasüröre devretmek zorunda kalmaması, kotpar sözleşmesindeki en önemli olumsuzluğun ortadan kalkmasıdır. Ayrıca, rizikonun ağırlığına göre değişik konservasyon miktarı da belirleyebilir. Böylece, rizikonun ağırlık derecesine göre reasüröre verilecek azami miktarlar tesbit edilir. En önemli olumsuzlukları ise; sözleşme kapsamının dışında kalan risk için ihtiyari rasürans yapılması, ayrıca, sedanın iyi ve kötü riziko ayrımı yapabilmesinden dolayı reasürörlerin iyi rizikodan daha az kötü rizikodan daha çok pay almak zorunda kalması ve sedanın her bir poliçe için ayrı konservasyon limiti belirlemesi halinde  idari masraflarının yükselmesidir. Bir eksedan sözleşmesinin azami kapasitesi, sedanın konservasyonuna eşit plen, dilim ya da line adı verilen meblağların adedi ile ölçülür. </w:t>
      </w:r>
    </w:p>
    <w:p w:rsidR="00F521F0" w:rsidRDefault="00F521F0" w:rsidP="00F521F0">
      <w:pPr>
        <w:pStyle w:val="AralkYok"/>
        <w:jc w:val="both"/>
        <w:rPr>
          <w:lang w:val="en-US"/>
        </w:rPr>
      </w:pPr>
      <w:r>
        <w:rPr>
          <w:lang w:val="en-US"/>
        </w:rPr>
        <w:t>________________________________________________________________________</w:t>
      </w:r>
    </w:p>
    <w:p w:rsidR="00F521F0" w:rsidRDefault="00F521F0" w:rsidP="00F521F0">
      <w:pPr>
        <w:pStyle w:val="AralkYok"/>
        <w:jc w:val="both"/>
        <w:rPr>
          <w:lang w:val="en-US"/>
        </w:rPr>
      </w:pPr>
      <w:r>
        <w:rPr>
          <w:lang w:val="en-US"/>
        </w:rPr>
        <w:lastRenderedPageBreak/>
        <w:t xml:space="preserve">Resmi Gazete 30.12.2001 tarihli 24626 sayılı, Sigortacılıkta Yurt İçi Reasürans Havuzu Sistemine İlişkin karar; 25 Haziran 1927 tarihli ve 1160 sayılı Kanunun 1,2,3,4,5. maddelerinde yapılan değişikliğe göre 1 Ocak 2002 tarihinden başlamak ve 31 Aralık 2006 tarihinde sona ermek üzere 5 yıl süre ile Milli Reasürans Türk Anonim Şirketi’ne verilmiştir. </w:t>
      </w:r>
    </w:p>
    <w:p w:rsidR="00F521F0" w:rsidRDefault="00F521F0" w:rsidP="00F521F0">
      <w:pPr>
        <w:pStyle w:val="AralkYok"/>
        <w:jc w:val="both"/>
        <w:rPr>
          <w:lang w:val="en-US"/>
        </w:rPr>
      </w:pPr>
      <w:r>
        <w:rPr>
          <w:lang w:val="en-US"/>
        </w:rPr>
        <w:t>________________________________________________________________________</w:t>
      </w:r>
    </w:p>
    <w:p w:rsidR="00F521F0" w:rsidRDefault="00F521F0" w:rsidP="00F521F0">
      <w:pPr>
        <w:pStyle w:val="AralkYok"/>
        <w:pBdr>
          <w:bottom w:val="single" w:sz="12" w:space="1" w:color="auto"/>
        </w:pBdr>
        <w:jc w:val="both"/>
        <w:rPr>
          <w:lang w:val="en-US"/>
        </w:rPr>
      </w:pPr>
      <w:r>
        <w:rPr>
          <w:b/>
          <w:lang w:val="en-US"/>
        </w:rPr>
        <w:t>Trete</w:t>
      </w:r>
      <w:r>
        <w:rPr>
          <w:lang w:val="en-US"/>
        </w:rPr>
        <w:t xml:space="preserve">: Sigorta şirketlerinin portföylerini reasürans yolu ile sigortaladıklarında kendi sigortacıları ile (reasürörlerle) imzaladıkları reasürans anlaşmalarına verilen genel ad. </w:t>
      </w:r>
    </w:p>
    <w:p w:rsidR="00F521F0" w:rsidRDefault="00F521F0" w:rsidP="00F521F0">
      <w:pPr>
        <w:pStyle w:val="AralkYok"/>
        <w:jc w:val="both"/>
        <w:rPr>
          <w:lang w:val="en-US"/>
        </w:rPr>
      </w:pPr>
    </w:p>
    <w:p w:rsidR="00F521F0" w:rsidRDefault="00F521F0" w:rsidP="00F521F0">
      <w:pPr>
        <w:pStyle w:val="AralkYok"/>
        <w:jc w:val="both"/>
        <w:rPr>
          <w:b/>
          <w:lang w:val="en-US"/>
        </w:rPr>
      </w:pPr>
      <w:r>
        <w:rPr>
          <w:b/>
          <w:lang w:val="en-US"/>
        </w:rPr>
        <w:t xml:space="preserve">B. Kotpar sözleşmeleri (Treteleri) </w:t>
      </w:r>
    </w:p>
    <w:p w:rsidR="00F521F0" w:rsidRDefault="00F521F0" w:rsidP="00F521F0">
      <w:pPr>
        <w:pStyle w:val="AralkYok"/>
        <w:jc w:val="both"/>
        <w:rPr>
          <w:lang w:val="en-US"/>
        </w:rPr>
      </w:pPr>
      <w:r>
        <w:rPr>
          <w:lang w:val="en-US"/>
        </w:rPr>
        <w:t xml:space="preserve">Kotpar sözleşmesinde sedan, belli bir süre içinde belli bir branşta tanzim ettiği her poliçenin sözleşme şartlarına uygun olması halinde, her bir poliçeden reasüröre önceden belirlenen bir oranda pay vermek, reasürörde bu payı </w:t>
      </w:r>
      <w:proofErr w:type="gramStart"/>
      <w:r>
        <w:rPr>
          <w:lang w:val="en-US"/>
        </w:rPr>
        <w:t>kabul</w:t>
      </w:r>
      <w:proofErr w:type="gramEnd"/>
      <w:r>
        <w:rPr>
          <w:lang w:val="en-US"/>
        </w:rPr>
        <w:t xml:space="preserve"> etmek zorundadır. Branştaki tüm işlerin sabit bir oranda reasüröre devredilmesi zorunlu olduğundan, sedan şirketin kendi lehine riziko seçimi söz konusu olamaz. Kotpar sözleşmesinde sedanın konservasyon payı, sözleşmenin teminat </w:t>
      </w:r>
      <w:proofErr w:type="gramStart"/>
      <w:r>
        <w:rPr>
          <w:lang w:val="en-US"/>
        </w:rPr>
        <w:t>kabul</w:t>
      </w:r>
      <w:proofErr w:type="gramEnd"/>
      <w:r>
        <w:rPr>
          <w:lang w:val="en-US"/>
        </w:rPr>
        <w:t xml:space="preserve"> limitinin belirleyicisi olmaktadır. Örneğin; herhangi bir branşta, sedanın azami konservasyonunu 12.000 TL olarak belirlediği ve reasürörle yapmış olduğu kotpar sözleşmesinde payının %30, reasürör payınında %70 olduğu sözleşmenin azami limiti, </w:t>
      </w:r>
      <w:r>
        <w:rPr>
          <w:u w:val="single"/>
          <w:lang w:val="en-US"/>
        </w:rPr>
        <w:t>Sedanın Konservasyonu/Sedanın Sözleşmedeki Payı</w:t>
      </w:r>
      <w:r>
        <w:rPr>
          <w:lang w:val="en-US"/>
        </w:rPr>
        <w:t xml:space="preserve"> şeklinde hesaplanarak 40.000 TL olarak bulunur. Buna göre, belli bir branşda sedan tarafından yazılan ve 40.000 TL’na </w:t>
      </w:r>
      <w:proofErr w:type="gramStart"/>
      <w:r>
        <w:rPr>
          <w:lang w:val="en-US"/>
        </w:rPr>
        <w:t>kadar</w:t>
      </w:r>
      <w:proofErr w:type="gramEnd"/>
      <w:r>
        <w:rPr>
          <w:lang w:val="en-US"/>
        </w:rPr>
        <w:t xml:space="preserve"> olan tüm riskler kotpar sözleşmesine devredilecek ve sözkonusu limite kadar her riskin %30 ‘u sedan üzerinde kalacak, %70’i reasüröre ait olacaktır. Sigorta bedeli 10.000 TL, alınan prim 100 TL ve hasarın 1.000 TL olarak gerçekleştiği durumda sedan, reasürör şirkete 70 TL primden pay devrederken reasürör hasarın 700 TL’ni üstlenecektir, 300 TL ise, </w:t>
      </w:r>
      <w:proofErr w:type="gramStart"/>
      <w:r>
        <w:rPr>
          <w:lang w:val="en-US"/>
        </w:rPr>
        <w:t>sedanın</w:t>
      </w:r>
      <w:proofErr w:type="gramEnd"/>
      <w:r>
        <w:rPr>
          <w:lang w:val="en-US"/>
        </w:rPr>
        <w:t xml:space="preserve"> üzerinde kalacaktır. Eksedana göre, komisyonu yüksek olan kotpar sözleşmesi reasürörlerce daha çok tercih edilir. Küçük portföylü sedan şirketler tarafından tercih edilen sistemin en önemli dezavantajı, </w:t>
      </w:r>
      <w:proofErr w:type="gramStart"/>
      <w:r>
        <w:rPr>
          <w:lang w:val="en-US"/>
        </w:rPr>
        <w:t>mali</w:t>
      </w:r>
      <w:proofErr w:type="gramEnd"/>
      <w:r>
        <w:rPr>
          <w:lang w:val="en-US"/>
        </w:rPr>
        <w:t xml:space="preserve"> gücünün yeterli olduğu poliçelerin dahi devredilmek zorunda kalınmasıdır. Özellikle, hasar büyüklüğü ve frekans tespitinin güç olduğu branşlarda, doğal felaketlerde, sorumluluk sigortalarında yararlı olmaktadır. Türkiye pazarında, kapitalizasyonu tüm zorluklara rağmen nispeten başarmış yüksek üretimli şirketler artık, hasar frekansı yüksek branşlarda küçük şirket operasyonlarında çok yaygın olan kotpar reasüransı bırakmakta, yerine bölüşmesiz sözleşmeleri tercih etmektedirler. Büyük sayılar kanununun bir sonucu olarak, portföylerde görülen bu oluşum her şeye rağmen şirket bilânçosunu etkileyen, yatırıma ayrılacak fonun boyutlarını büyük ölçüde belirleyen teknik </w:t>
      </w:r>
      <w:proofErr w:type="gramStart"/>
      <w:r>
        <w:rPr>
          <w:lang w:val="en-US"/>
        </w:rPr>
        <w:t>karın</w:t>
      </w:r>
      <w:proofErr w:type="gramEnd"/>
      <w:r>
        <w:rPr>
          <w:lang w:val="en-US"/>
        </w:rPr>
        <w:t xml:space="preserve"> yükselmesini veya yoğun rekabet ortamında var olabilmesini getirmektedir. </w:t>
      </w:r>
    </w:p>
    <w:p w:rsidR="00F521F0" w:rsidRDefault="00F521F0" w:rsidP="00F521F0">
      <w:pPr>
        <w:pStyle w:val="AralkYok"/>
        <w:jc w:val="both"/>
        <w:rPr>
          <w:b/>
          <w:lang w:val="en-US"/>
        </w:rPr>
      </w:pPr>
    </w:p>
    <w:p w:rsidR="00F521F0" w:rsidRDefault="00F521F0" w:rsidP="00F521F0">
      <w:pPr>
        <w:pStyle w:val="AralkYok"/>
        <w:jc w:val="both"/>
        <w:rPr>
          <w:b/>
          <w:lang w:val="en-US"/>
        </w:rPr>
      </w:pPr>
      <w:r>
        <w:rPr>
          <w:b/>
          <w:lang w:val="en-US"/>
        </w:rPr>
        <w:t xml:space="preserve">C. İhtiyari/ Mecburi Trete ve Açık Kuvertür (Open Cover) </w:t>
      </w:r>
    </w:p>
    <w:p w:rsidR="00F521F0" w:rsidRDefault="00F521F0" w:rsidP="00F521F0">
      <w:pPr>
        <w:pStyle w:val="AralkYok"/>
        <w:jc w:val="both"/>
        <w:rPr>
          <w:lang w:val="en-US"/>
        </w:rPr>
      </w:pPr>
      <w:r>
        <w:rPr>
          <w:lang w:val="en-US"/>
        </w:rPr>
        <w:t xml:space="preserve">İhtiyari ve zorunlu reasürans özelliklerini taşıyan bu sistemde, sedan şirketin anlaşmadaki şirketlere sesyon yapması ihtiyari, reasürörlerin ise, sesyon yapıldığında </w:t>
      </w:r>
      <w:proofErr w:type="gramStart"/>
      <w:r>
        <w:rPr>
          <w:lang w:val="en-US"/>
        </w:rPr>
        <w:t>kabul</w:t>
      </w:r>
      <w:proofErr w:type="gramEnd"/>
      <w:r>
        <w:rPr>
          <w:lang w:val="en-US"/>
        </w:rPr>
        <w:t xml:space="preserve"> etmesi zorunludur. Sedan şirket, üzerinde konservasyon tutmadığı işleri sözleşmeye yüklediğinde </w:t>
      </w:r>
      <w:r>
        <w:rPr>
          <w:u w:val="single"/>
          <w:lang w:val="en-US"/>
        </w:rPr>
        <w:lastRenderedPageBreak/>
        <w:t xml:space="preserve">open cover </w:t>
      </w:r>
      <w:r>
        <w:rPr>
          <w:lang w:val="en-US"/>
        </w:rPr>
        <w:t xml:space="preserve">adı verilir ve bu tür sözleşmelerde azami limit olarak miktar kullanılır. İhtiyari /Zorunlu işlerde azami limit için plen kullanılır. </w:t>
      </w:r>
    </w:p>
    <w:p w:rsidR="00F521F0" w:rsidRDefault="00F521F0" w:rsidP="00F521F0">
      <w:pPr>
        <w:pStyle w:val="AralkYok"/>
        <w:jc w:val="both"/>
        <w:rPr>
          <w:lang w:val="en-US"/>
        </w:rPr>
      </w:pPr>
    </w:p>
    <w:p w:rsidR="00F521F0" w:rsidRDefault="00F521F0" w:rsidP="00F521F0">
      <w:pPr>
        <w:pStyle w:val="AralkYok"/>
        <w:jc w:val="both"/>
        <w:rPr>
          <w:b/>
          <w:lang w:val="en-US"/>
        </w:rPr>
      </w:pPr>
      <w:r>
        <w:rPr>
          <w:b/>
          <w:lang w:val="en-US"/>
        </w:rPr>
        <w:t xml:space="preserve">2. Bölüşmesiz Reasürans </w:t>
      </w:r>
    </w:p>
    <w:p w:rsidR="00F521F0" w:rsidRDefault="00F521F0" w:rsidP="00F521F0">
      <w:pPr>
        <w:pStyle w:val="AralkYok"/>
        <w:jc w:val="both"/>
        <w:rPr>
          <w:lang w:val="en-US"/>
        </w:rPr>
      </w:pPr>
      <w:r>
        <w:rPr>
          <w:lang w:val="en-US"/>
        </w:rPr>
        <w:t>Sedan veya reasürör şirketin kendi hesabına alıkoyacağı miktara karar verdiği ve konservasyonunu aşan kısım için reasürans satın aldığı anlaşma şeklidir. Bölüşmesiz reasürans “Excess of Loss” ve “Stop Loss” şeklinde uygulanır. İhtiyari ve bölüşmeli reasüransta, sedan ve reasürans şirket ödenen hasarları sigorta bedeli ile primin paylaşıldığı oranda paylaşmaktadır. Bölüşmesiz reasüransta ise, reasürörün sorumluluğu hasarın önceden belirlenmiş miktarı aşması halinde başlamakta, sorumluluk ve hasar miktarlarının paylaşımı orantılı olmamaktadır. Primlerin paylaşımı ise, önceden belirlenmiş bir orana göre yapılmamaktadır. Reasürans primi, sedan şirketin devrettiği portföyün yıllık prim tutarı üzerinden hesaplanmaktadır.</w:t>
      </w:r>
    </w:p>
    <w:p w:rsidR="00F521F0" w:rsidRDefault="00F521F0" w:rsidP="00F521F0">
      <w:pPr>
        <w:pStyle w:val="AralkYok"/>
        <w:jc w:val="both"/>
        <w:rPr>
          <w:lang w:val="en-US"/>
        </w:rPr>
      </w:pPr>
    </w:p>
    <w:p w:rsidR="00F521F0" w:rsidRDefault="00F521F0" w:rsidP="00F521F0">
      <w:pPr>
        <w:pStyle w:val="AralkYok"/>
        <w:jc w:val="both"/>
        <w:rPr>
          <w:b/>
          <w:lang w:val="en-US"/>
        </w:rPr>
      </w:pPr>
      <w:r>
        <w:rPr>
          <w:b/>
          <w:lang w:val="en-US"/>
        </w:rPr>
        <w:t xml:space="preserve">A. Excess of Loss (Hasar Fazlası Reasüransı) </w:t>
      </w:r>
    </w:p>
    <w:p w:rsidR="00F521F0" w:rsidRDefault="00F521F0" w:rsidP="00F521F0">
      <w:pPr>
        <w:pStyle w:val="AralkYok"/>
        <w:jc w:val="both"/>
        <w:rPr>
          <w:lang w:val="en-US"/>
        </w:rPr>
      </w:pPr>
      <w:r>
        <w:rPr>
          <w:lang w:val="en-US"/>
        </w:rPr>
        <w:t xml:space="preserve">Sedan şirketin, belli bir süre içerisinde, belli bir branşta net konservasyonunu aşan kısmını belli bir limite </w:t>
      </w:r>
      <w:proofErr w:type="gramStart"/>
      <w:r>
        <w:rPr>
          <w:lang w:val="en-US"/>
        </w:rPr>
        <w:t>kadar</w:t>
      </w:r>
      <w:proofErr w:type="gramEnd"/>
      <w:r>
        <w:rPr>
          <w:lang w:val="en-US"/>
        </w:rPr>
        <w:t xml:space="preserve"> koruyan bölüşmesiz reasürans şeklidir. Sigorta şirketinin tespit ettiği konservasyon tutarının üzerinde kalan hasarlar için, azami sorumluluğa </w:t>
      </w:r>
      <w:proofErr w:type="gramStart"/>
      <w:r>
        <w:rPr>
          <w:lang w:val="en-US"/>
        </w:rPr>
        <w:t>kadar</w:t>
      </w:r>
      <w:proofErr w:type="gramEnd"/>
      <w:r>
        <w:rPr>
          <w:lang w:val="en-US"/>
        </w:rPr>
        <w:t xml:space="preserve"> reasürörden hasar payı alınır. Eksedan sözleşmeden farkı, sedan şirketin, risklerini özel bir teminat altına alması diğer bir değişle, her bir poliçe dolayısıyla konservasyonundan ödeyeceği azami tazminat tutarını da sınırlandırmasıdır. Reasürans şirketin, sorumluluk sınırı yapılan anlaşmada belirtilir ve reasürör, reasüransa konu olan sigorta poliçelerinin sadece hasara maruz kalması durumunda devreye girer. Bu tür anlaşmalarda reasürörün prim geliri, koruma altına alınan branşta elde edileceği varsayılan primlerin belli bir yüzdesi olarak ifade edilir. Dönem içerisinde, reasürör asgari bir depozit primi belirler bu miktarı sedan şirketten tahsil </w:t>
      </w:r>
      <w:proofErr w:type="gramStart"/>
      <w:r>
        <w:rPr>
          <w:lang w:val="en-US"/>
        </w:rPr>
        <w:t>eder</w:t>
      </w:r>
      <w:proofErr w:type="gramEnd"/>
      <w:r>
        <w:rPr>
          <w:lang w:val="en-US"/>
        </w:rPr>
        <w:t xml:space="preserve">. Dönem sonunda, sedan şirketin tahakkuk ettiği primden reasürörün alacağı pay, kendisine ödenen depozit primden fazla ise fark reasüröre ödenir; </w:t>
      </w:r>
      <w:proofErr w:type="gramStart"/>
      <w:r>
        <w:rPr>
          <w:lang w:val="en-US"/>
        </w:rPr>
        <w:t>az</w:t>
      </w:r>
      <w:proofErr w:type="gramEnd"/>
      <w:r>
        <w:rPr>
          <w:lang w:val="en-US"/>
        </w:rPr>
        <w:t xml:space="preserve"> ise, reasürörden sedana herhangi bir ödeme yapılmaz. Hasar fazlası anlaşmaları </w:t>
      </w:r>
      <w:r>
        <w:rPr>
          <w:u w:val="single"/>
          <w:lang w:val="en-US"/>
        </w:rPr>
        <w:t xml:space="preserve">risk başına excess of loss </w:t>
      </w:r>
      <w:r>
        <w:rPr>
          <w:lang w:val="en-US"/>
        </w:rPr>
        <w:t xml:space="preserve">ve </w:t>
      </w:r>
      <w:r>
        <w:rPr>
          <w:u w:val="single"/>
          <w:lang w:val="en-US"/>
        </w:rPr>
        <w:t xml:space="preserve">olay başına excess of loss </w:t>
      </w:r>
      <w:r>
        <w:rPr>
          <w:lang w:val="en-US"/>
        </w:rPr>
        <w:t xml:space="preserve">olmak üzere iki şekilde uygulanır. Risk Başına Excess of Loss anlaşmalarında, sedan, </w:t>
      </w:r>
      <w:proofErr w:type="gramStart"/>
      <w:r>
        <w:rPr>
          <w:lang w:val="en-US"/>
        </w:rPr>
        <w:t>bir</w:t>
      </w:r>
      <w:proofErr w:type="gramEnd"/>
      <w:r>
        <w:rPr>
          <w:lang w:val="en-US"/>
        </w:rPr>
        <w:t xml:space="preserve"> riskte üstlendiği brüt konservasyonu dolayısıyla uğrayacağı zararı sınırlandırmak için net konservasyon limiti belirler. Bu limiti aşan kısmı reasürörlere dağıtır. Reasürörlerin azami sorumluluğu ise, sedanın bir rizikodaki azami konservasyonunu aşamaz. Olay Başına Excess of Loss anlaşmalarında ise, sedan üstlendiği birden fazla riskin aynı olay sonucu hasara uğrayabileceği olasılığı nedeniyle başvurduğu bu sistemde, reasürörlere devredilecek risk bir riziko dolayısıyla tutulan azami konservasyonun üzerinde belirlenir. Deprem, sel, fırtına, yangın gibi aynı nedenden kaynaklanan risklerin aynı olay sonucu hasara uğraması durumunda tazminat talebinde bulunabilmek için hasar başına teminatlardan yararlanılabilir. Sedan şirket, bir risk veya hasarda katlanabileceği azami tazminat miktarının üzerinde kalan tutarları reasürörden talep </w:t>
      </w:r>
      <w:proofErr w:type="gramStart"/>
      <w:r>
        <w:rPr>
          <w:lang w:val="en-US"/>
        </w:rPr>
        <w:t>eder</w:t>
      </w:r>
      <w:proofErr w:type="gramEnd"/>
      <w:r>
        <w:rPr>
          <w:lang w:val="en-US"/>
        </w:rPr>
        <w:t>. Bu sistemde, kademeler risk başına ve hasar başına şeklinde uygulanır.</w:t>
      </w:r>
    </w:p>
    <w:p w:rsidR="00F521F0" w:rsidRDefault="00F521F0" w:rsidP="00F521F0">
      <w:pPr>
        <w:pStyle w:val="AralkYok"/>
        <w:jc w:val="both"/>
        <w:rPr>
          <w:b/>
          <w:lang w:val="en-US"/>
        </w:rPr>
      </w:pPr>
      <w:r>
        <w:rPr>
          <w:lang w:val="en-US"/>
        </w:rPr>
        <w:lastRenderedPageBreak/>
        <w:t xml:space="preserve"> </w:t>
      </w:r>
      <w:r>
        <w:rPr>
          <w:b/>
          <w:lang w:val="en-US"/>
        </w:rPr>
        <w:t xml:space="preserve">İsteğe Bağlı Reasürans (Facultative Reinsurance) </w:t>
      </w:r>
    </w:p>
    <w:p w:rsidR="00F521F0" w:rsidRDefault="00F521F0" w:rsidP="00F521F0">
      <w:pPr>
        <w:pStyle w:val="AralkYok"/>
        <w:jc w:val="both"/>
        <w:rPr>
          <w:lang w:val="en-US"/>
        </w:rPr>
      </w:pPr>
      <w:r>
        <w:rPr>
          <w:lang w:val="en-US"/>
        </w:rPr>
        <w:t xml:space="preserve">Sigorta şirketi, üzerine aldığı risklere ait primlerin bir kısmını reasürans şirketine devretmekte ve bu devir karşılığında da, reasürans şirketinden komisyon almaktadır. Risk gerçekleştiğinde sedan şirket, sigortalıya ödeyeceği hasar bedelinin reasüröre isabet </w:t>
      </w:r>
      <w:proofErr w:type="gramStart"/>
      <w:r>
        <w:rPr>
          <w:lang w:val="en-US"/>
        </w:rPr>
        <w:t>eden</w:t>
      </w:r>
      <w:proofErr w:type="gramEnd"/>
      <w:r>
        <w:rPr>
          <w:lang w:val="en-US"/>
        </w:rPr>
        <w:t xml:space="preserve"> kısmını kendisinden tahsil etmektedir. Sedan şirketin özellikle zorunlu reasürans kapasitesinden yararlanma imkanı tükendiğinde yada poliçenin kapsadığı riskler bu korumanın dışında kaldığında isteğe bağlı reasüransa başvurulur. Ancak, isteğe bağlı reasürans pahalı bir yoldur ve zorunlu reasüransta işlemler standart olduğundan söz konusu reasüransa göre daha kolaydır.</w:t>
      </w:r>
    </w:p>
    <w:p w:rsidR="00F521F0" w:rsidRDefault="00F521F0" w:rsidP="00F521F0">
      <w:pPr>
        <w:pStyle w:val="AralkYok"/>
        <w:jc w:val="both"/>
        <w:rPr>
          <w:b/>
          <w:lang w:val="en-US"/>
        </w:rPr>
      </w:pPr>
      <w:r>
        <w:rPr>
          <w:b/>
          <w:lang w:val="en-US"/>
        </w:rPr>
        <w:t xml:space="preserve">Karşılıklı İş Alışverişleri </w:t>
      </w:r>
    </w:p>
    <w:p w:rsidR="00F521F0" w:rsidRDefault="00F521F0" w:rsidP="00F521F0">
      <w:pPr>
        <w:pStyle w:val="AralkYok"/>
        <w:jc w:val="both"/>
        <w:rPr>
          <w:lang w:val="en-US"/>
        </w:rPr>
      </w:pPr>
      <w:r>
        <w:rPr>
          <w:lang w:val="en-US"/>
        </w:rPr>
        <w:t xml:space="preserve">İşlerini otomatik yolla reasüre </w:t>
      </w:r>
      <w:proofErr w:type="gramStart"/>
      <w:r>
        <w:rPr>
          <w:lang w:val="en-US"/>
        </w:rPr>
        <w:t>eden</w:t>
      </w:r>
      <w:proofErr w:type="gramEnd"/>
      <w:r>
        <w:rPr>
          <w:lang w:val="en-US"/>
        </w:rPr>
        <w:t xml:space="preserve"> şirket, verdiği iş karşılığında, kendisine, aynı nitelik ve hacimde işin verilmesini şart koşmaktadır. </w:t>
      </w:r>
    </w:p>
    <w:p w:rsidR="00F521F0" w:rsidRDefault="00F521F0" w:rsidP="00F521F0">
      <w:pPr>
        <w:pStyle w:val="AralkYok"/>
        <w:jc w:val="both"/>
        <w:rPr>
          <w:b/>
          <w:lang w:val="en-US"/>
        </w:rPr>
      </w:pPr>
      <w:r>
        <w:rPr>
          <w:b/>
          <w:lang w:val="en-US"/>
        </w:rPr>
        <w:t xml:space="preserve">Pool Anlaşmaları </w:t>
      </w:r>
    </w:p>
    <w:p w:rsidR="00F521F0" w:rsidRDefault="00F521F0" w:rsidP="00F521F0">
      <w:pPr>
        <w:pStyle w:val="AralkYok"/>
        <w:jc w:val="both"/>
        <w:rPr>
          <w:lang w:val="en-US"/>
        </w:rPr>
      </w:pPr>
      <w:r>
        <w:rPr>
          <w:lang w:val="en-US"/>
        </w:rPr>
        <w:t xml:space="preserve">Özellikle meydana gelmesi büyük hasarların ortaya çıkmasına neden olabilecek afetler veya özel nitelik taşıyan sigortalar için Pool anlaşmaları yapılır. Böylece hasarların tamamı veya belirli miktarı aşan kısımları pool üyesi şirketler tarafından hisseleri oranında ortaklaşa karşılanır. Üye şirketler, düzenledikleri poliçeleri tamamen veya belirli bir miktarı aşan kısımları itibariyle, orijinal maliyet primi ile veya pek </w:t>
      </w:r>
      <w:proofErr w:type="gramStart"/>
      <w:r>
        <w:rPr>
          <w:lang w:val="en-US"/>
        </w:rPr>
        <w:t>az</w:t>
      </w:r>
      <w:proofErr w:type="gramEnd"/>
      <w:r>
        <w:rPr>
          <w:lang w:val="en-US"/>
        </w:rPr>
        <w:t xml:space="preserve"> bir komisyon düşüldükten sonra Pool’a devrederler. Böylece toplanan portföy %100 itibariyle, üyelere yansıtılmış olur. Bu uygulamada her şirket kendisinin Pool’a devrettiği işten hissesi oranında pay aldığı gibi, diğer üyelerin işlerine de katılmış olmakla, kendi olanakları ile sahip olmayacağı genişlikte bir portföyden yararlanabilmektedir.</w:t>
      </w:r>
    </w:p>
    <w:p w:rsidR="00F521F0" w:rsidRDefault="00F521F0" w:rsidP="00F521F0">
      <w:pPr>
        <w:pStyle w:val="AralkYok"/>
        <w:jc w:val="both"/>
        <w:rPr>
          <w:b/>
          <w:lang w:val="en-US"/>
        </w:rPr>
      </w:pPr>
      <w:r>
        <w:rPr>
          <w:b/>
          <w:lang w:val="en-US"/>
        </w:rPr>
        <w:t xml:space="preserve">KOASÜRANS İŞLEMLERİ  </w:t>
      </w:r>
    </w:p>
    <w:p w:rsidR="00F521F0" w:rsidRDefault="00F521F0" w:rsidP="00F521F0">
      <w:pPr>
        <w:pStyle w:val="AralkYok"/>
        <w:jc w:val="both"/>
        <w:rPr>
          <w:lang w:val="en-US"/>
        </w:rPr>
      </w:pPr>
      <w:r>
        <w:rPr>
          <w:lang w:val="en-US"/>
        </w:rPr>
        <w:t xml:space="preserve">Koasürans, birden fazla sigorta şirketinin tek bir riski üzerlerine almalarıdır. Sigorta şirketleri, konservasyon kapasitelerini aşan büyük işlerde riski dağıtmak amacıyla ortak konsorsiyum oluştururlar. Literatürde, koasürans olarak bilinen bu uygulama ile sigorta şirketleri ortak teminat vermekte ve hasarlara da aynı oranda iştirak etmektedir. Koasürans işlemleri, bir şirketin öncülüğü ile yapılır ve öncülük yapan şirkete </w:t>
      </w:r>
      <w:r>
        <w:rPr>
          <w:u w:val="single"/>
          <w:lang w:val="en-US"/>
        </w:rPr>
        <w:t>Jeran</w:t>
      </w:r>
      <w:r>
        <w:rPr>
          <w:lang w:val="en-US"/>
        </w:rPr>
        <w:t xml:space="preserve"> şirket adı verilir. Koasüransa katılan şirketlerden herhangi biri hasar ödemesinde bulunmazsa, diğer sigorta şirketleri ödenmeyen bu kısımdan sorumlu tutulmazlar. </w:t>
      </w:r>
    </w:p>
    <w:p w:rsidR="00F521F0" w:rsidRDefault="00F521F0" w:rsidP="00F521F0">
      <w:pPr>
        <w:pStyle w:val="AralkYok"/>
        <w:jc w:val="both"/>
        <w:rPr>
          <w:b/>
          <w:lang w:val="en-US"/>
        </w:rPr>
      </w:pPr>
      <w:r>
        <w:rPr>
          <w:b/>
          <w:lang w:val="en-US"/>
        </w:rPr>
        <w:t xml:space="preserve">RETROSESYON İŞLEMLERİ  </w:t>
      </w:r>
    </w:p>
    <w:p w:rsidR="00F521F0" w:rsidRDefault="00F521F0" w:rsidP="00F521F0">
      <w:pPr>
        <w:pStyle w:val="AralkYok"/>
        <w:jc w:val="both"/>
        <w:rPr>
          <w:lang w:val="en-US"/>
        </w:rPr>
      </w:pPr>
      <w:r>
        <w:rPr>
          <w:lang w:val="en-US"/>
        </w:rPr>
        <w:t xml:space="preserve">Reasürans şirketleri, reasürans yoluyla devraldıkları rizikonun bir kısmını veya tamamını diğer reasürörlere devreder, karşılığında komisyon alır. Reasürans şirketlerinin aldıkları primlerinin bir kısmını yurt içindeki veya yurt dışındaki şirketlere devretmesi işlemine </w:t>
      </w:r>
      <w:r>
        <w:rPr>
          <w:u w:val="single"/>
          <w:lang w:val="en-US"/>
        </w:rPr>
        <w:t xml:space="preserve">retrosesyon </w:t>
      </w:r>
      <w:r>
        <w:rPr>
          <w:lang w:val="en-US"/>
        </w:rPr>
        <w:t xml:space="preserve">denirken, rizikoyu devreden reasürör şirkete </w:t>
      </w:r>
      <w:r>
        <w:rPr>
          <w:u w:val="single"/>
          <w:lang w:val="en-US"/>
        </w:rPr>
        <w:t>retrosedan</w:t>
      </w:r>
      <w:r>
        <w:rPr>
          <w:lang w:val="en-US"/>
        </w:rPr>
        <w:t xml:space="preserve">, devralan şirkete ise </w:t>
      </w:r>
      <w:r>
        <w:rPr>
          <w:u w:val="single"/>
          <w:lang w:val="en-US"/>
        </w:rPr>
        <w:t>retrosesyoner</w:t>
      </w:r>
      <w:r>
        <w:rPr>
          <w:lang w:val="en-US"/>
        </w:rPr>
        <w:t xml:space="preserve"> denir.</w:t>
      </w:r>
    </w:p>
    <w:p w:rsidR="00F521F0" w:rsidRDefault="00F521F0" w:rsidP="00F521F0">
      <w:pPr>
        <w:pStyle w:val="AralkYok"/>
        <w:jc w:val="both"/>
        <w:rPr>
          <w:lang w:val="en-US"/>
        </w:rPr>
      </w:pPr>
    </w:p>
    <w:p w:rsidR="001523F0" w:rsidRDefault="001523F0" w:rsidP="00F521F0">
      <w:pPr>
        <w:pStyle w:val="AralkYok"/>
        <w:jc w:val="both"/>
        <w:rPr>
          <w:lang w:val="en-US"/>
        </w:rPr>
      </w:pPr>
    </w:p>
    <w:p w:rsidR="00F521F0" w:rsidRDefault="00F521F0" w:rsidP="00F521F0">
      <w:pPr>
        <w:autoSpaceDE w:val="0"/>
        <w:autoSpaceDN w:val="0"/>
        <w:adjustRightInd w:val="0"/>
        <w:spacing w:before="120" w:line="240" w:lineRule="auto"/>
        <w:jc w:val="both"/>
        <w:rPr>
          <w:rFonts w:ascii="Times New Roman" w:hAnsi="Times New Roman"/>
          <w:b/>
          <w:sz w:val="24"/>
          <w:szCs w:val="24"/>
        </w:rPr>
      </w:pPr>
      <w:r>
        <w:rPr>
          <w:rFonts w:ascii="Times New Roman" w:hAnsi="Times New Roman"/>
          <w:b/>
          <w:sz w:val="24"/>
          <w:szCs w:val="24"/>
        </w:rPr>
        <w:lastRenderedPageBreak/>
        <w:t xml:space="preserve">ALTERNATİF RİSK TRANSFERİ- ART </w:t>
      </w:r>
    </w:p>
    <w:p w:rsidR="00F521F0" w:rsidRDefault="00F521F0" w:rsidP="00F521F0">
      <w:pPr>
        <w:autoSpaceDE w:val="0"/>
        <w:autoSpaceDN w:val="0"/>
        <w:adjustRightInd w:val="0"/>
        <w:spacing w:before="120" w:line="240" w:lineRule="auto"/>
        <w:jc w:val="both"/>
        <w:rPr>
          <w:rFonts w:ascii="Times New Roman" w:hAnsi="Times New Roman"/>
          <w:sz w:val="24"/>
          <w:szCs w:val="24"/>
        </w:rPr>
      </w:pPr>
      <w:r>
        <w:rPr>
          <w:rFonts w:ascii="Times New Roman" w:hAnsi="Times New Roman"/>
          <w:sz w:val="24"/>
          <w:szCs w:val="24"/>
        </w:rPr>
        <w:t xml:space="preserve">Geleneksel sigortacılık, risklere yönelik olarak tek bir hat üzerinden yaklaşım göstermektedir. Teknolojik ilerlemeler ile birlikte piyasaların küreselleşmesi sonucunda ortaya yeni risklerin çıkması, giderek artan karmaşık riskler ve sofistike risk yönetimi, kurumsal risklere bütünleştirilmiş bir yaklaşım ihtiyacı doğurmaktadır. Pek çok firma için büyük riskler geleneksel sigorta çözümleri tarafından teminat altına alınamamaktadır. Bununla birlikte özellikle son yirmi yıldır etkisini daha da arttırarak göstermeye başlayan doğal veya insan eliyle meydana gelen felaketler yaşanmaya başlamıştır. Söz konusu felaketlerin yaşanma sıklığının artıyor olması, firmaları, risk yönetimi faaliyetlerinde bu risk türlerine karşı da önlem almaya itmiştir. Risk yönetiminde geçmişi en eskiye dayanan uygulama sigorta olmakla ve tüm dünyada uygulanan ve en etkili yöntemlerden biri olarak sigortacılık </w:t>
      </w:r>
      <w:proofErr w:type="gramStart"/>
      <w:r>
        <w:rPr>
          <w:rFonts w:ascii="Times New Roman" w:hAnsi="Times New Roman"/>
          <w:sz w:val="24"/>
          <w:szCs w:val="24"/>
        </w:rPr>
        <w:t>kabul</w:t>
      </w:r>
      <w:proofErr w:type="gramEnd"/>
      <w:r>
        <w:rPr>
          <w:rFonts w:ascii="Times New Roman" w:hAnsi="Times New Roman"/>
          <w:sz w:val="24"/>
          <w:szCs w:val="24"/>
        </w:rPr>
        <w:t xml:space="preserve"> edilmekle birlikte; sigortacılığın yüksek maddi kayıplarda yetersiz kalması, farklı finansman araçlarına yönelme ihtiyacını doğurmuştur. Bu ihtiyaçlar, ilk olarak Amerika’da uygulanmaya başlanan alternatif risk transfer yöntemleri ile ortaya çıkmıştır. ART uygulamalarında temel amaç, riski dünyanın en büyük piyasası olan sermaye piyasasına yaymak, böylece kayıp oranını en aza </w:t>
      </w:r>
      <w:proofErr w:type="gramStart"/>
      <w:r>
        <w:rPr>
          <w:rFonts w:ascii="Times New Roman" w:hAnsi="Times New Roman"/>
          <w:sz w:val="24"/>
          <w:szCs w:val="24"/>
        </w:rPr>
        <w:t>indirmektir.</w:t>
      </w:r>
      <w:proofErr w:type="gramEnd"/>
      <w:r>
        <w:rPr>
          <w:rFonts w:ascii="Times New Roman" w:hAnsi="Times New Roman"/>
          <w:sz w:val="24"/>
          <w:szCs w:val="24"/>
        </w:rPr>
        <w:t xml:space="preserve"> Yeterince sigorta ya da sermaye piyasası çözümü olmayan koşullarda başvurulan ART yöntemleri, sadece (captive) sigorta şirketinden ibaret değildir ve geleneksel sigorta/reasürans programlarının dışına çıkılmasını amaçlamaktadır. Söz konusu yöntemler; bir (captive) sigorta şirketini gündeme getirebileceği gibi bir bütünleştirilmiş sigorta programını, hava durumu opsiyonları gibi sigorta türevlerini ya da felaket bonosunu da (catastrophe bond) içine almaktadır. ART’nin birinci amacı; riskin transferinin etkinliğini arttırarak mevcut risk finansman yöntemlerine alternatif risk finansman araçları geliştirmektir. İkinci amacı; mevcut olan sigortalanabilir risklerin yelpazesini genişletmektir. ART’nin üçüncü ana amacını ise; sermaye piyasaları aracılığı ile risklerin finansmanı için ilave kapasite </w:t>
      </w:r>
      <w:proofErr w:type="gramStart"/>
      <w:r>
        <w:rPr>
          <w:rFonts w:ascii="Times New Roman" w:hAnsi="Times New Roman"/>
          <w:sz w:val="24"/>
          <w:szCs w:val="24"/>
        </w:rPr>
        <w:t>temin</w:t>
      </w:r>
      <w:proofErr w:type="gramEnd"/>
      <w:r>
        <w:rPr>
          <w:rFonts w:ascii="Times New Roman" w:hAnsi="Times New Roman"/>
          <w:sz w:val="24"/>
          <w:szCs w:val="24"/>
        </w:rPr>
        <w:t xml:space="preserve"> etmek oluşturmaktadır. ART yöntemlerinin Amerika’dan sonra Avrupa’da da yaygın biçimde kullanılmaya başlanması, uygulandığı ülkelerin güçlü ekonomik yapılarını ve gelişmişlik düzeyleriyle ilişkilendirilmesini olağan kılmaktadır. ART yöntemlerinin herhangi bir ülkede uygulanabilirliği, o ülkede risk ve riskten doğacak zararların karşılanması ile ilgili bilincin oluşmasına, daha sonra da sigorta uygulamalarının etkin kullanımına bağlıdır. Gelişmekte olan ülkeler kategorisinde olan ülkemizde ART yöntemleri yeterince bilinmemektedir.</w:t>
      </w:r>
    </w:p>
    <w:p w:rsidR="00F521F0" w:rsidRDefault="00F521F0" w:rsidP="00F521F0">
      <w:pPr>
        <w:autoSpaceDE w:val="0"/>
        <w:autoSpaceDN w:val="0"/>
        <w:adjustRightInd w:val="0"/>
        <w:spacing w:before="80" w:line="240" w:lineRule="auto"/>
        <w:ind w:left="-284"/>
        <w:jc w:val="both"/>
        <w:rPr>
          <w:rFonts w:ascii="Times New Roman" w:hAnsi="Times New Roman"/>
          <w:b/>
          <w:sz w:val="28"/>
          <w:szCs w:val="28"/>
        </w:rPr>
      </w:pPr>
      <w:r>
        <w:rPr>
          <w:rFonts w:ascii="Times New Roman" w:hAnsi="Times New Roman"/>
          <w:b/>
          <w:sz w:val="28"/>
          <w:szCs w:val="28"/>
        </w:rPr>
        <w:t xml:space="preserve">   </w:t>
      </w:r>
    </w:p>
    <w:p w:rsidR="00F521F0" w:rsidRDefault="00F521F0" w:rsidP="00F521F0">
      <w:pPr>
        <w:autoSpaceDE w:val="0"/>
        <w:autoSpaceDN w:val="0"/>
        <w:adjustRightInd w:val="0"/>
        <w:spacing w:before="80" w:line="240" w:lineRule="auto"/>
        <w:ind w:left="-284"/>
        <w:jc w:val="both"/>
        <w:rPr>
          <w:rFonts w:ascii="Times New Roman" w:hAnsi="Times New Roman"/>
          <w:b/>
          <w:sz w:val="28"/>
          <w:szCs w:val="28"/>
        </w:rPr>
      </w:pPr>
    </w:p>
    <w:p w:rsidR="00F521F0" w:rsidRDefault="00F521F0" w:rsidP="00F521F0">
      <w:pPr>
        <w:autoSpaceDE w:val="0"/>
        <w:autoSpaceDN w:val="0"/>
        <w:adjustRightInd w:val="0"/>
        <w:spacing w:before="80" w:line="240" w:lineRule="auto"/>
        <w:ind w:left="-284"/>
        <w:jc w:val="both"/>
        <w:rPr>
          <w:rFonts w:ascii="Times New Roman" w:hAnsi="Times New Roman"/>
          <w:b/>
          <w:sz w:val="28"/>
          <w:szCs w:val="28"/>
        </w:rPr>
      </w:pPr>
    </w:p>
    <w:p w:rsidR="00F521F0" w:rsidRDefault="00F521F0" w:rsidP="00F521F0">
      <w:pPr>
        <w:autoSpaceDE w:val="0"/>
        <w:autoSpaceDN w:val="0"/>
        <w:adjustRightInd w:val="0"/>
        <w:spacing w:before="80" w:line="240" w:lineRule="auto"/>
        <w:ind w:left="-284"/>
        <w:jc w:val="both"/>
        <w:rPr>
          <w:rFonts w:ascii="Times New Roman" w:hAnsi="Times New Roman"/>
          <w:b/>
          <w:sz w:val="28"/>
          <w:szCs w:val="28"/>
        </w:rPr>
      </w:pPr>
    </w:p>
    <w:p w:rsidR="00F521F0" w:rsidRDefault="00F521F0" w:rsidP="00F521F0">
      <w:pPr>
        <w:autoSpaceDE w:val="0"/>
        <w:autoSpaceDN w:val="0"/>
        <w:adjustRightInd w:val="0"/>
        <w:spacing w:before="80" w:line="240" w:lineRule="auto"/>
        <w:ind w:left="-284"/>
        <w:jc w:val="both"/>
        <w:rPr>
          <w:rFonts w:ascii="Times New Roman" w:hAnsi="Times New Roman"/>
          <w:b/>
          <w:sz w:val="28"/>
          <w:szCs w:val="28"/>
        </w:rPr>
      </w:pPr>
    </w:p>
    <w:p w:rsidR="001523F0" w:rsidRDefault="001523F0" w:rsidP="00F521F0">
      <w:pPr>
        <w:autoSpaceDE w:val="0"/>
        <w:autoSpaceDN w:val="0"/>
        <w:adjustRightInd w:val="0"/>
        <w:spacing w:before="80" w:line="240" w:lineRule="auto"/>
        <w:ind w:left="-284"/>
        <w:jc w:val="both"/>
        <w:rPr>
          <w:rFonts w:ascii="Times New Roman" w:hAnsi="Times New Roman"/>
          <w:b/>
          <w:sz w:val="28"/>
          <w:szCs w:val="28"/>
        </w:rPr>
      </w:pPr>
    </w:p>
    <w:p w:rsidR="001523F0" w:rsidRDefault="001523F0" w:rsidP="00F521F0">
      <w:pPr>
        <w:autoSpaceDE w:val="0"/>
        <w:autoSpaceDN w:val="0"/>
        <w:adjustRightInd w:val="0"/>
        <w:spacing w:before="80" w:line="240" w:lineRule="auto"/>
        <w:ind w:left="-284"/>
        <w:jc w:val="both"/>
        <w:rPr>
          <w:rFonts w:ascii="Times New Roman" w:hAnsi="Times New Roman"/>
          <w:b/>
          <w:sz w:val="28"/>
          <w:szCs w:val="28"/>
        </w:rPr>
      </w:pPr>
    </w:p>
    <w:p w:rsidR="001523F0" w:rsidRDefault="001523F0" w:rsidP="00F521F0">
      <w:pPr>
        <w:autoSpaceDE w:val="0"/>
        <w:autoSpaceDN w:val="0"/>
        <w:adjustRightInd w:val="0"/>
        <w:spacing w:before="80" w:line="240" w:lineRule="auto"/>
        <w:ind w:left="-284"/>
        <w:jc w:val="both"/>
        <w:rPr>
          <w:rFonts w:ascii="Times New Roman" w:hAnsi="Times New Roman"/>
          <w:b/>
          <w:sz w:val="28"/>
          <w:szCs w:val="28"/>
        </w:rPr>
      </w:pPr>
    </w:p>
    <w:p w:rsidR="001523F0" w:rsidRDefault="001523F0" w:rsidP="00F521F0">
      <w:pPr>
        <w:autoSpaceDE w:val="0"/>
        <w:autoSpaceDN w:val="0"/>
        <w:adjustRightInd w:val="0"/>
        <w:spacing w:before="80" w:line="240" w:lineRule="auto"/>
        <w:ind w:left="-284"/>
        <w:jc w:val="both"/>
        <w:rPr>
          <w:rFonts w:ascii="Times New Roman" w:hAnsi="Times New Roman"/>
          <w:b/>
          <w:sz w:val="28"/>
          <w:szCs w:val="28"/>
        </w:rPr>
      </w:pPr>
    </w:p>
    <w:p w:rsidR="00F521F0" w:rsidRDefault="00F521F0" w:rsidP="00F521F0">
      <w:pPr>
        <w:autoSpaceDE w:val="0"/>
        <w:autoSpaceDN w:val="0"/>
        <w:adjustRightInd w:val="0"/>
        <w:spacing w:before="80" w:line="240" w:lineRule="auto"/>
        <w:ind w:left="-284"/>
        <w:jc w:val="both"/>
        <w:rPr>
          <w:rFonts w:ascii="Times New Roman" w:hAnsi="Times New Roman"/>
          <w:b/>
          <w:sz w:val="28"/>
          <w:szCs w:val="28"/>
        </w:rPr>
      </w:pPr>
    </w:p>
    <w:p w:rsidR="00F521F0" w:rsidRDefault="001523F0" w:rsidP="00F521F0">
      <w:pPr>
        <w:autoSpaceDE w:val="0"/>
        <w:autoSpaceDN w:val="0"/>
        <w:adjustRightInd w:val="0"/>
        <w:spacing w:before="80" w:line="240" w:lineRule="auto"/>
        <w:ind w:left="-284"/>
        <w:jc w:val="both"/>
        <w:rPr>
          <w:rFonts w:ascii="Times New Roman" w:hAnsi="Times New Roman"/>
          <w:b/>
          <w:sz w:val="28"/>
          <w:szCs w:val="28"/>
        </w:rPr>
      </w:pPr>
      <w:r>
        <w:rPr>
          <w:rFonts w:ascii="Times New Roman" w:hAnsi="Times New Roman"/>
          <w:b/>
          <w:sz w:val="28"/>
          <w:szCs w:val="28"/>
        </w:rPr>
        <w:lastRenderedPageBreak/>
        <w:t>SON KISIM-ÖZET-(konuya genel bakış)</w:t>
      </w:r>
    </w:p>
    <w:p w:rsidR="00F521F0" w:rsidRDefault="00F521F0" w:rsidP="00F521F0">
      <w:pPr>
        <w:spacing w:line="240" w:lineRule="auto"/>
        <w:jc w:val="both"/>
        <w:rPr>
          <w:rFonts w:ascii="Times New Roman" w:hAnsi="Times New Roman"/>
          <w:b/>
          <w:sz w:val="24"/>
          <w:szCs w:val="24"/>
        </w:rPr>
      </w:pPr>
      <w:r>
        <w:rPr>
          <w:rFonts w:ascii="Times New Roman" w:hAnsi="Times New Roman"/>
          <w:color w:val="000000"/>
          <w:sz w:val="24"/>
          <w:szCs w:val="24"/>
        </w:rPr>
        <w:t xml:space="preserve">Sigorta sistemi aynı türden risklerle karşı karşıya olan sigortalılarından toplanan primler vasıtasıyla oluşturulan havuz sayesinde o tehlikenin gerçekleşmesi sonucu hasara uğrayan sigortalının zararının karşılanması olup, </w:t>
      </w:r>
      <w:r>
        <w:rPr>
          <w:rFonts w:ascii="Times New Roman" w:hAnsi="Times New Roman"/>
          <w:sz w:val="24"/>
          <w:szCs w:val="24"/>
        </w:rPr>
        <w:t xml:space="preserve">risk ve risk yönetimi sigortacılığın temel konusudur. </w:t>
      </w:r>
      <w:r>
        <w:rPr>
          <w:rFonts w:ascii="Times New Roman" w:hAnsi="Times New Roman"/>
          <w:bCs/>
          <w:color w:val="000000"/>
          <w:sz w:val="24"/>
          <w:szCs w:val="24"/>
        </w:rPr>
        <w:t>Sigortacılıkta Risk</w:t>
      </w:r>
      <w:r>
        <w:rPr>
          <w:rFonts w:ascii="Times New Roman" w:hAnsi="Times New Roman"/>
          <w:b/>
          <w:bCs/>
          <w:color w:val="000000"/>
          <w:sz w:val="24"/>
          <w:szCs w:val="24"/>
        </w:rPr>
        <w:t xml:space="preserve">, </w:t>
      </w:r>
      <w:r>
        <w:rPr>
          <w:rFonts w:ascii="Times New Roman" w:hAnsi="Times New Roman"/>
          <w:bCs/>
          <w:color w:val="000000"/>
          <w:sz w:val="24"/>
          <w:szCs w:val="24"/>
        </w:rPr>
        <w:t>bi</w:t>
      </w:r>
      <w:r>
        <w:rPr>
          <w:rFonts w:ascii="Times New Roman" w:hAnsi="Times New Roman"/>
          <w:color w:val="000000"/>
          <w:sz w:val="24"/>
          <w:szCs w:val="24"/>
        </w:rPr>
        <w:t>linmeyen ve ani şekilde ortaya çıkan ve irade dışı olan muhtemel tehlike olarak belirtilir. B</w:t>
      </w:r>
      <w:r>
        <w:rPr>
          <w:rFonts w:ascii="Times New Roman" w:hAnsi="Times New Roman"/>
          <w:sz w:val="24"/>
          <w:szCs w:val="24"/>
        </w:rPr>
        <w:t xml:space="preserve">ir riskin sigorta kapsamına alınabilmesi için bazı unsurların oluşması gerekir. Sigortacılık açısından riskin temel unsurları; maddi ve gerçek olması, muhtemel olması, gelecekte meydana gelme ihtimali olması, ama ne zaman meydana geleceğinin belli olmaması, tarafların iradesi dışında meydana gelmesi, konusu bakımından yasal-meşru olması, yasalara uygun olması ve maddi zarar doğuran bir olay olmasıdır. Bu özelliklere sahip olmayan riskler sigortacılar tarafından risk olarak </w:t>
      </w:r>
      <w:proofErr w:type="gramStart"/>
      <w:r>
        <w:rPr>
          <w:rFonts w:ascii="Times New Roman" w:hAnsi="Times New Roman"/>
          <w:sz w:val="24"/>
          <w:szCs w:val="24"/>
        </w:rPr>
        <w:t>kabul</w:t>
      </w:r>
      <w:proofErr w:type="gramEnd"/>
      <w:r>
        <w:rPr>
          <w:rFonts w:ascii="Times New Roman" w:hAnsi="Times New Roman"/>
          <w:sz w:val="24"/>
          <w:szCs w:val="24"/>
        </w:rPr>
        <w:t xml:space="preserve"> edilip teminat altına alınamazlar. Sigortacılık açısından ticari riskler ve tesadüfi riskler ayırımı önemli olup, sigortacılığın konusunu tesadüfi riskler oluşturur. </w:t>
      </w:r>
    </w:p>
    <w:p w:rsidR="00F521F0" w:rsidRDefault="00F521F0" w:rsidP="00F521F0">
      <w:pPr>
        <w:pStyle w:val="AralkYok"/>
        <w:jc w:val="both"/>
        <w:rPr>
          <w:lang w:val="en-US"/>
        </w:rPr>
      </w:pPr>
      <w:r>
        <w:rPr>
          <w:lang w:val="en-US"/>
        </w:rPr>
        <w:t xml:space="preserve">Sigortacılık açısından riskler, işletme riskleri, piyasa riskleri, kredi riski, operasyonel riskler ve sistemik riskler olarak 5 ana kategoride sınıflandırılmaktadır. İşletme riskleri, ihraç edilen fonların yükselemsinden kaynaklanan aktüeryal riskler, reasürans işlemlerinden kaynaklanan reasürans riskleri, sigorta şirketinin işletme yapısının iş akışından ve sistem hatalarından kaynaklanan operasyoneş riskler, doğrudan işletme yatırımlarına bağlı olan yatırı riskleri, likidite riski, işletme yükümlülüklerini uygun varlıklarla eşleştirememesi sonucu ortaya çıkan eşleştirme riski, harcama riskelri, zaman riski ve provizyon riskidir. Piyasa riski bilânço içi veya dışı pozisyonların, piyasadaki fiyat hareketleri dolayısıyla maruz kaldıkları kayıp riskini ifade </w:t>
      </w:r>
      <w:proofErr w:type="gramStart"/>
      <w:r>
        <w:rPr>
          <w:lang w:val="en-US"/>
        </w:rPr>
        <w:t>eder</w:t>
      </w:r>
      <w:proofErr w:type="gramEnd"/>
      <w:r>
        <w:rPr>
          <w:lang w:val="en-US"/>
        </w:rPr>
        <w:t xml:space="preserve">. Piyasa riskleri ise faiz oranlarındaki değişimlerden kaynaklanan faiz riski, hisse senedi fiyatlarındaki dalgalanmalardan kaynaklanan hisse senedi riski, döviz kurlarındaki değişimlerden kaynaklanan kur riski, emtia alım-satım piyasasındaki fiyat dalgalanmalarından kaynaklanan emtia riski </w:t>
      </w:r>
      <w:proofErr w:type="gramStart"/>
      <w:r>
        <w:rPr>
          <w:lang w:val="en-US"/>
        </w:rPr>
        <w:t>ve  opsiyon</w:t>
      </w:r>
      <w:proofErr w:type="gramEnd"/>
      <w:r>
        <w:rPr>
          <w:lang w:val="en-US"/>
        </w:rPr>
        <w:t xml:space="preserve"> riskinden oluşmaktadır. Finansal işlemlerde bulunan kişi veya kuruluşlardan birinin, karşı tarafa olan yükümlülüklerini yerine getirmemesinden kaynaklanan potansiyel kayıp kredi riski, operasyonel riskler ve bütün katılımcıların, grup olarak katlanmaları gereken, piyasalardaki kurumsal ve  yapısal düzenlemelerden kaynaklanan finansal risk olan sistemik riskler diğer risk türleridir.   </w:t>
      </w:r>
    </w:p>
    <w:p w:rsidR="00F521F0" w:rsidRDefault="00F521F0" w:rsidP="00F521F0">
      <w:pPr>
        <w:pStyle w:val="AralkYok"/>
        <w:jc w:val="both"/>
        <w:rPr>
          <w:color w:val="000000"/>
          <w:lang w:val="en-US"/>
        </w:rPr>
      </w:pPr>
      <w:r>
        <w:rPr>
          <w:color w:val="000000"/>
          <w:lang w:val="en-US"/>
        </w:rPr>
        <w:t xml:space="preserve">Çağdaş işletmelerde sigorta, risk yönetim sürecinin ayrılmaz bir parçasıdır.  Sigorta aracılığıyla risk sigortalından sigortacıya aktarılmış olur.  Öte yandan sigortacı riski ancak belli kriterler çerçevesinde değerlendirdikten sonra bu riski sigortalından devralıp devralmayacağına ve bu devrin hangi şartlarla gerçekleşmesi gerektiğine karar verebilir. Bu aşamada da riskin analiz edilmesi sigorta şirketi için çok büyük önem taşımaktadır. </w:t>
      </w:r>
      <w:r>
        <w:rPr>
          <w:lang w:val="en-US"/>
        </w:rPr>
        <w:t xml:space="preserve">Her tür riskte olduğu gibi, riskler once tanımlanmalı ve daha sonra analiz edilmelidir. Daha sonra ise bu risklerin yönetimi için alternatif yöntemler arasından seçim yapılmalıdır. Bu endenle sigorta sektöründe mevcut risklerin tanımlanması ve sınıflandırılmasının ardından bu risklerin analizi büyük önem taşır. </w:t>
      </w:r>
      <w:r>
        <w:rPr>
          <w:color w:val="000000"/>
          <w:lang w:val="en-US"/>
        </w:rPr>
        <w:t xml:space="preserve">Risk analizi risk unsurlarının geniş bir envanterinin çıkarılmasının ardından potansiyel hasar teftişi adı verilen risk unsurların yerinde görülmesi ve incelenmesi sonucunda elde edilen bilgilerin tüm risk unsurlarını kapsayacak bir biçimde rapor edilmesi işlemidir. Bu raporda sayısal veriler kullanıldığı gibi, sayısal olmayan nitel değerlendirmelerde yer alır.  </w:t>
      </w:r>
    </w:p>
    <w:p w:rsidR="00F521F0" w:rsidRDefault="00F521F0" w:rsidP="00F521F0">
      <w:pPr>
        <w:pStyle w:val="AralkYok"/>
        <w:jc w:val="both"/>
        <w:rPr>
          <w:lang w:bidi="ar-SA"/>
        </w:rPr>
      </w:pPr>
      <w:r>
        <w:rPr>
          <w:lang w:val="en-US"/>
        </w:rPr>
        <w:lastRenderedPageBreak/>
        <w:t xml:space="preserve">Kişileri ve kurumları karşı karşıya kaldıkları risklere karşı teminat altına alan sigorta şirketleri, bu riskleri etkin bir </w:t>
      </w:r>
      <w:proofErr w:type="gramStart"/>
      <w:r>
        <w:rPr>
          <w:lang w:val="en-US"/>
        </w:rPr>
        <w:t>biçimde  yönetmek</w:t>
      </w:r>
      <w:proofErr w:type="gramEnd"/>
      <w:r>
        <w:rPr>
          <w:lang w:val="en-US"/>
        </w:rPr>
        <w:t xml:space="preserve"> zorunda olduklarından değişik risk yönetim yöntemleri kullanırlar. Sigorta sektörü bakımından risk yönetim yöntemleri riskten kaçınma, riskin paylaşılması, riskin azaltılması ve riskin transferi başlıkları altında incelenir. Muafiyet olgusu sigortacılıkta riskin sigortacı ve sigortalı arasında paylaşımını ifade </w:t>
      </w:r>
      <w:proofErr w:type="gramStart"/>
      <w:r>
        <w:rPr>
          <w:lang w:val="en-US"/>
        </w:rPr>
        <w:t>eder</w:t>
      </w:r>
      <w:proofErr w:type="gramEnd"/>
      <w:r>
        <w:rPr>
          <w:lang w:val="en-US"/>
        </w:rPr>
        <w:t xml:space="preserve">.  Sigorta sisteminin işleyişinde hasar ihtimalinin tek başına transfer edilmesi ve oluşacak hasarların paylaşılması iki ana eğilim ve yöntemdir. Sigortacının risklerle ilgili alacağı karar ve önlemler risk gerçekleşmeden önce, riskin gerçekleşmesi esnasında ve sonrasında olmak üzere üç aşamada değerlendirilir. Risk gerçekleşmeden önce alınacak önlemlere </w:t>
      </w:r>
      <w:r>
        <w:rPr>
          <w:b/>
          <w:u w:val="single"/>
          <w:lang w:val="en-US"/>
        </w:rPr>
        <w:t>hasar teftişi</w:t>
      </w:r>
      <w:r>
        <w:rPr>
          <w:lang w:val="en-US"/>
        </w:rPr>
        <w:t xml:space="preserve"> çalışmaları adı verilmektedir. Risk esnasında </w:t>
      </w:r>
      <w:r>
        <w:rPr>
          <w:b/>
          <w:u w:val="single"/>
          <w:lang w:val="en-US"/>
        </w:rPr>
        <w:t>hasar tesbiti</w:t>
      </w:r>
      <w:r>
        <w:rPr>
          <w:lang w:val="en-US"/>
        </w:rPr>
        <w:t xml:space="preserve"> çalışmaları yapılır. Risk gerçekleştikten sonra hasar tesbiti ve eksper raporlarına dayanarak sigorta poliçesinde yazılı koşullar çerçevesinde </w:t>
      </w:r>
      <w:r>
        <w:rPr>
          <w:b/>
          <w:u w:val="single"/>
          <w:lang w:val="en-US"/>
        </w:rPr>
        <w:t xml:space="preserve">riskin tazmin edilmesi </w:t>
      </w:r>
      <w:r>
        <w:rPr>
          <w:lang w:val="en-US"/>
        </w:rPr>
        <w:t xml:space="preserve">aşaması gerçekleştirilir. </w:t>
      </w:r>
      <w:r>
        <w:rPr>
          <w:color w:val="000000"/>
          <w:lang w:val="en-US"/>
        </w:rPr>
        <w:t xml:space="preserve">Sigorta edilmiş bir riskin gördüğü zarara </w:t>
      </w:r>
      <w:hyperlink r:id="rId5" w:tooltip="Hasar (sayfa mevcut değil)" w:history="1">
        <w:r>
          <w:rPr>
            <w:rStyle w:val="Kpr"/>
            <w:b/>
            <w:color w:val="000000"/>
          </w:rPr>
          <w:t>hasar</w:t>
        </w:r>
      </w:hyperlink>
      <w:r>
        <w:rPr>
          <w:b/>
          <w:color w:val="000000"/>
          <w:lang w:val="en-US"/>
        </w:rPr>
        <w:t xml:space="preserve"> </w:t>
      </w:r>
      <w:r>
        <w:rPr>
          <w:color w:val="000000"/>
          <w:lang w:val="en-US"/>
        </w:rPr>
        <w:t xml:space="preserve">denir. </w:t>
      </w:r>
    </w:p>
    <w:p w:rsidR="00F521F0" w:rsidRDefault="00F521F0" w:rsidP="00F521F0">
      <w:pPr>
        <w:pStyle w:val="AralkYok"/>
        <w:jc w:val="both"/>
        <w:rPr>
          <w:lang w:val="en-US"/>
        </w:rPr>
      </w:pPr>
      <w:r>
        <w:rPr>
          <w:lang w:val="en-US"/>
        </w:rPr>
        <w:t xml:space="preserve">Sigorta şirketleri faaliyetlerini gerçekleştirirken, şirketlerine transfer ederek üstlendikleri riskleri yükümlülükleri karşılama yeterliliğine sahip olmak durumundadır. Bu nedenle elde ettikleri gelirlerini etkin bir biçimde yönetmek için çeşitli yatırımlarda bulunurlar. Sigorta şirketleri risk yönetimi politikaları gereği yükümlülüklerini karşılayabilmek amacıyla üstlendikleri riskin bir kısmını da, </w:t>
      </w:r>
      <w:proofErr w:type="gramStart"/>
      <w:r>
        <w:rPr>
          <w:lang w:val="en-US"/>
        </w:rPr>
        <w:t>mali</w:t>
      </w:r>
      <w:proofErr w:type="gramEnd"/>
      <w:r>
        <w:rPr>
          <w:lang w:val="en-US"/>
        </w:rPr>
        <w:t xml:space="preserve"> yapılarını ve riskin durumunu dikkate alarak, çeşitli yöntemler ve enstrümanlar yoluyla transfer ederler. Risk transferi sigorta şirketleri için önemlidir. Çünkü, risk transferi, herşeyden önce</w:t>
      </w:r>
      <w:proofErr w:type="gramStart"/>
      <w:r>
        <w:rPr>
          <w:lang w:val="en-US"/>
        </w:rPr>
        <w:t>,  gelecekteki</w:t>
      </w:r>
      <w:proofErr w:type="gramEnd"/>
      <w:r>
        <w:rPr>
          <w:lang w:val="en-US"/>
        </w:rPr>
        <w:t xml:space="preserve"> kazançları güvenceye almaktadır. Sigorta şirketlerinin risk transfer yöntemleri; reasürans, koasürans ve retrosesyon işlemleri olarak gruplandırılır. Bunlara giderek önem kazanmaya başlayan alternatif risk transfer yöntemleri </w:t>
      </w:r>
      <w:proofErr w:type="gramStart"/>
      <w:r>
        <w:rPr>
          <w:lang w:val="en-US"/>
        </w:rPr>
        <w:t>de  eklenebilir</w:t>
      </w:r>
      <w:proofErr w:type="gramEnd"/>
      <w:r>
        <w:rPr>
          <w:lang w:val="en-US"/>
        </w:rPr>
        <w:t xml:space="preserve">. Sigorta şirketlerinin </w:t>
      </w:r>
      <w:proofErr w:type="gramStart"/>
      <w:r>
        <w:rPr>
          <w:lang w:val="en-US"/>
        </w:rPr>
        <w:t>kabul</w:t>
      </w:r>
      <w:proofErr w:type="gramEnd"/>
      <w:r>
        <w:rPr>
          <w:lang w:val="en-US"/>
        </w:rPr>
        <w:t xml:space="preserve"> ettikleri risklerin tamamını üstlenmeleri mümkün değildir. Bu nedenle, prim karşılığı üstlendikleri rizikoların belirli bir oranını başka bir sigorta şirketine devrederler. Bu işleme </w:t>
      </w:r>
      <w:r>
        <w:rPr>
          <w:u w:val="single"/>
          <w:lang w:val="en-US"/>
        </w:rPr>
        <w:t xml:space="preserve">reasürans, </w:t>
      </w:r>
      <w:r>
        <w:rPr>
          <w:lang w:val="en-US"/>
        </w:rPr>
        <w:t xml:space="preserve">işlemi üstlenen şirkete, </w:t>
      </w:r>
      <w:r>
        <w:rPr>
          <w:u w:val="single"/>
          <w:lang w:val="en-US"/>
        </w:rPr>
        <w:t>reasürans şirketi,</w:t>
      </w:r>
      <w:r>
        <w:rPr>
          <w:lang w:val="en-US"/>
        </w:rPr>
        <w:t xml:space="preserve"> devreden şirkete ise, </w:t>
      </w:r>
      <w:r>
        <w:rPr>
          <w:u w:val="single"/>
          <w:lang w:val="en-US"/>
        </w:rPr>
        <w:t>sedan şirket</w:t>
      </w:r>
      <w:r>
        <w:rPr>
          <w:lang w:val="en-US"/>
        </w:rPr>
        <w:t xml:space="preserve"> denilmektedir. Reasürans işlemleri; otomatik reasürans sözleşmeleri, isteğe bağlı reasürans, karşılıklı iş alışverişi ve pool anlaşmaları olarak uygulanmaktadır. Otomatik reasürans yolu ile yapılan reasürans da bölüşmeli reasürans ve bölüşmesiz reasürans olarak iki bölümde incelenmektedir. Bölüşmeli reasürans sözleşmesi; sedan ve reasürörün yaptıkları bir anlaşma ile belirli bir branştaki işlerin belirlenen oranını ya da sedanın konservasyon payını aşan tutarının belli bir yüzdesini, reasürörlere otomatik olarak devrini öngörmektedir. Bölüşmeli reasürans </w:t>
      </w:r>
      <w:r>
        <w:rPr>
          <w:b/>
          <w:u w:val="single"/>
          <w:lang w:val="en-US"/>
        </w:rPr>
        <w:t>eksedan</w:t>
      </w:r>
      <w:r>
        <w:rPr>
          <w:lang w:val="en-US"/>
        </w:rPr>
        <w:t xml:space="preserve"> ve </w:t>
      </w:r>
      <w:r>
        <w:rPr>
          <w:b/>
          <w:u w:val="single"/>
          <w:lang w:val="en-US"/>
        </w:rPr>
        <w:t>kotpar</w:t>
      </w:r>
      <w:r>
        <w:rPr>
          <w:lang w:val="en-US"/>
        </w:rPr>
        <w:t xml:space="preserve"> sözleşmeleri şeklinde uygulanır. Bölüşmesiz reasüans ise sedan veya reasürör şirketin kendi hesabına alıkoyacağı miktara karar verdiği ve konservasyonunu aşan kısım için reasürans satın aldığı anlaşma şeklidir. Bölüşmesiz reasürans </w:t>
      </w:r>
      <w:r>
        <w:rPr>
          <w:u w:val="single"/>
          <w:lang w:val="en-US"/>
        </w:rPr>
        <w:t>excess of loss</w:t>
      </w:r>
      <w:r>
        <w:rPr>
          <w:lang w:val="en-US"/>
        </w:rPr>
        <w:t xml:space="preserve"> ve </w:t>
      </w:r>
      <w:r>
        <w:rPr>
          <w:u w:val="single"/>
          <w:lang w:val="en-US"/>
        </w:rPr>
        <w:t>stop loss</w:t>
      </w:r>
      <w:r>
        <w:rPr>
          <w:lang w:val="en-US"/>
        </w:rPr>
        <w:t xml:space="preserve"> şeklinde uygulanır. Bunun dışında isteğe bağlı reasürans, karşılıklı iş alışverişleri ve özellikle meydana gelmesi büyük hasarların ortaya çıkmasına neden olabilecek afetler veya özel nitelik taşıyan sigortalar için yapılan pool anlaşmaları vardır.  </w:t>
      </w:r>
      <w:r>
        <w:rPr>
          <w:u w:val="single"/>
          <w:lang w:val="en-US"/>
        </w:rPr>
        <w:t>Koasürans</w:t>
      </w:r>
      <w:r>
        <w:rPr>
          <w:lang w:val="en-US"/>
        </w:rPr>
        <w:t xml:space="preserve"> ise, birden fazla sigorta şirketinin tek bir riski üzerlerine almalarıdır. Reasürans şirketleri, reasürans yoluyla devraldıkları rizikonun bir kısmını veya tamamını diğer reasürörlere devreder, karşılığında komisyon alır. Reasürans şirketlerinin aldıkları primlerinin bir kısmını yurt içindeki veya yurt dışındaki şirketlere devretmesi işlemine </w:t>
      </w:r>
      <w:r>
        <w:rPr>
          <w:u w:val="single"/>
          <w:lang w:val="en-US"/>
        </w:rPr>
        <w:t xml:space="preserve">retrosesyon </w:t>
      </w:r>
      <w:r>
        <w:rPr>
          <w:lang w:val="en-US"/>
        </w:rPr>
        <w:t xml:space="preserve">denirken, rizikoyu devreden reasürör şirkete </w:t>
      </w:r>
      <w:r>
        <w:rPr>
          <w:u w:val="single"/>
          <w:lang w:val="en-US"/>
        </w:rPr>
        <w:t>retrosedan</w:t>
      </w:r>
      <w:r>
        <w:rPr>
          <w:lang w:val="en-US"/>
        </w:rPr>
        <w:t xml:space="preserve">, devralan şirkete ise </w:t>
      </w:r>
      <w:r>
        <w:rPr>
          <w:u w:val="single"/>
          <w:lang w:val="en-US"/>
        </w:rPr>
        <w:t>retrosesyoner</w:t>
      </w:r>
      <w:r>
        <w:rPr>
          <w:lang w:val="en-US"/>
        </w:rPr>
        <w:t xml:space="preserve"> denir.</w:t>
      </w:r>
    </w:p>
    <w:sectPr w:rsidR="00F521F0"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4" w15:restartNumberingAfterBreak="0">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0"/>
    <w:rsid w:val="001523F0"/>
    <w:rsid w:val="00294BFF"/>
    <w:rsid w:val="00527370"/>
    <w:rsid w:val="00633031"/>
    <w:rsid w:val="00797B60"/>
    <w:rsid w:val="00B13426"/>
    <w:rsid w:val="00BA4437"/>
    <w:rsid w:val="00E2572D"/>
    <w:rsid w:val="00F35C08"/>
    <w:rsid w:val="00F52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B804B-8762-4F81-8B95-4F2EE3A0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yazChar">
    <w:name w:val="Altyazı Char"/>
    <w:basedOn w:val="VarsaylanParagrafYazTipi"/>
    <w:link w:val="Altyaz"/>
    <w:uiPriority w:val="11"/>
    <w:locked/>
    <w:rsid w:val="00F521F0"/>
    <w:rPr>
      <w:rFonts w:ascii="Cambria" w:hAnsi="Cambria"/>
      <w:i/>
      <w:iCs/>
      <w:color w:val="4F81BD"/>
      <w:spacing w:val="15"/>
      <w:sz w:val="24"/>
      <w:szCs w:val="24"/>
      <w:lang w:val="en-US" w:bidi="en-US"/>
    </w:rPr>
  </w:style>
  <w:style w:type="paragraph" w:styleId="Altyaz">
    <w:name w:val="Subtitle"/>
    <w:basedOn w:val="Normal"/>
    <w:next w:val="Normal"/>
    <w:link w:val="Altyaz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Alnt">
    <w:name w:val="Quote"/>
    <w:basedOn w:val="Normal"/>
    <w:next w:val="Normal"/>
    <w:link w:val="AlntChar"/>
    <w:uiPriority w:val="29"/>
    <w:qFormat/>
    <w:rsid w:val="00F521F0"/>
    <w:rPr>
      <w:i/>
      <w:iCs/>
      <w:color w:val="000000"/>
    </w:rPr>
  </w:style>
  <w:style w:type="character" w:customStyle="1" w:styleId="AlntChar">
    <w:name w:val="Alıntı Char"/>
    <w:basedOn w:val="VarsaylanParagrafYazTipi"/>
    <w:link w:val="Alnt"/>
    <w:uiPriority w:val="29"/>
    <w:rsid w:val="00F521F0"/>
    <w:rPr>
      <w:rFonts w:ascii="Calibri" w:eastAsia="Times New Roman" w:hAnsi="Calibri" w:cs="Times New Roman"/>
      <w:i/>
      <w:iCs/>
      <w:color w:val="000000"/>
      <w:lang w:val="en-US" w:bidi="en-US"/>
    </w:rPr>
  </w:style>
  <w:style w:type="paragraph" w:styleId="GlAlnt">
    <w:name w:val="Intense Quote"/>
    <w:basedOn w:val="Normal"/>
    <w:next w:val="Normal"/>
    <w:link w:val="GlAlntChar"/>
    <w:uiPriority w:val="30"/>
    <w:qFormat/>
    <w:rsid w:val="00F521F0"/>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tabs>
        <w:tab w:val="num" w:pos="360"/>
      </w:tabs>
      <w:spacing w:after="60"/>
      <w:ind w:left="245" w:hanging="245"/>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tabs>
        <w:tab w:val="clear" w:pos="360"/>
      </w:tabs>
      <w:spacing w:before="240"/>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wikipedia.org/w/index.php?title=Hasar&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4357</Words>
  <Characters>24838</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serkan</cp:lastModifiedBy>
  <cp:revision>2</cp:revision>
  <dcterms:created xsi:type="dcterms:W3CDTF">2017-02-14T08:41:00Z</dcterms:created>
  <dcterms:modified xsi:type="dcterms:W3CDTF">2017-02-14T08:41:00Z</dcterms:modified>
</cp:coreProperties>
</file>