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1FF54" w14:textId="336B1AB1" w:rsidR="007944EA" w:rsidRPr="007944EA" w:rsidRDefault="007944EA" w:rsidP="007944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44EA">
        <w:rPr>
          <w:rFonts w:ascii="Times New Roman" w:hAnsi="Times New Roman" w:cs="Times New Roman"/>
          <w:sz w:val="24"/>
          <w:szCs w:val="24"/>
        </w:rPr>
        <w:t>Aşağıdaki metni Ermeniceden Türkçeye çeviriniz.</w:t>
      </w:r>
    </w:p>
    <w:p w14:paraId="17AD2529" w14:textId="102E23CD" w:rsidR="00486A0C" w:rsidRPr="00486A0C" w:rsidRDefault="00486A0C" w:rsidP="00486A0C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hy-AM"/>
        </w:rPr>
      </w:pPr>
      <w:r w:rsidRPr="00486A0C">
        <w:rPr>
          <w:rFonts w:ascii="Times New Roman" w:hAnsi="Times New Roman" w:cs="Times New Roman"/>
          <w:b/>
          <w:color w:val="000000"/>
          <w:sz w:val="24"/>
          <w:szCs w:val="24"/>
          <w:lang w:val="hy-AM"/>
        </w:rPr>
        <w:t>ՌԴ Պետդուման թվային ռուբլու մասին օրենք է ընդունել</w:t>
      </w:r>
    </w:p>
    <w:p w14:paraId="2664B9A7" w14:textId="1D66B233" w:rsidR="00486A0C" w:rsidRPr="00486A0C" w:rsidRDefault="00486A0C" w:rsidP="00486A0C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486A0C">
        <w:rPr>
          <w:rFonts w:ascii="Times New Roman" w:hAnsi="Times New Roman" w:cs="Times New Roman"/>
          <w:color w:val="000000"/>
          <w:sz w:val="24"/>
          <w:szCs w:val="24"/>
          <w:lang w:val="hy-AM"/>
        </w:rPr>
        <w:t>Ռուսաստանի Դաշնության Պետդուման երկրորդ և երրորդ ընթերցմամբ հաստատել է օրենք, որը թույլ է տալիս հիմք ստեղծել թվային ռուբլու ներդրման համար։ Այն ներկայացնում է «թվայ</w:t>
      </w:r>
      <w:bookmarkStart w:id="0" w:name="_GoBack"/>
      <w:bookmarkEnd w:id="0"/>
      <w:r w:rsidRPr="00486A0C">
        <w:rPr>
          <w:rFonts w:ascii="Times New Roman" w:hAnsi="Times New Roman" w:cs="Times New Roman"/>
          <w:color w:val="000000"/>
          <w:sz w:val="24"/>
          <w:szCs w:val="24"/>
          <w:lang w:val="hy-AM"/>
        </w:rPr>
        <w:t>ին ռուբլու հարթակ», «թվային ռուբլու հարթակի կանոններ», «թվային ռուբլու հարթակի մասնակից», ինչպես նաև «թվային ռուբլու հարթակի օգտատեր» և «թվային հաշիվ» հասկացությունները, հայտնում է «</w:t>
      </w:r>
      <w:r>
        <w:rPr>
          <w:rFonts w:ascii="Times New Roman" w:hAnsi="Times New Roman" w:cs="Times New Roman"/>
          <w:color w:val="000000"/>
          <w:sz w:val="24"/>
          <w:szCs w:val="24"/>
        </w:rPr>
        <w:t>Kommersant</w:t>
      </w:r>
      <w:r w:rsidRPr="00486A0C">
        <w:rPr>
          <w:rFonts w:ascii="Times New Roman" w:hAnsi="Times New Roman" w:cs="Times New Roman"/>
          <w:color w:val="000000"/>
          <w:sz w:val="24"/>
          <w:szCs w:val="24"/>
          <w:lang w:val="hy-AM"/>
        </w:rPr>
        <w:t xml:space="preserve">»-ը։ </w:t>
      </w:r>
    </w:p>
    <w:p w14:paraId="1AB9A85B" w14:textId="77777777" w:rsidR="00486A0C" w:rsidRPr="00486A0C" w:rsidRDefault="00486A0C" w:rsidP="00486A0C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486A0C">
        <w:rPr>
          <w:rFonts w:ascii="Times New Roman" w:hAnsi="Times New Roman" w:cs="Times New Roman"/>
          <w:color w:val="000000"/>
          <w:sz w:val="24"/>
          <w:szCs w:val="24"/>
          <w:lang w:val="hy-AM"/>
        </w:rPr>
        <w:t>Օրենքը, որը մշակվել է մի խումբ պատգամավորների կողմից՝ ֆինանսական շուկայի կոմիտեի նախագահ Անատոլի Ակսակովի գլխավորությամբ, ապահովում է Ռուսաստանի Բանկի համար թվային ռուբլու հարթակի օպերատորի կարգավիճակը։ Օրենքը սահմանում է նաև Կենտրոնական բանկի պատասխանատվությունը թվային ռուբլու անվտանգության համար։</w:t>
      </w:r>
    </w:p>
    <w:p w14:paraId="1851D58F" w14:textId="04986115" w:rsidR="007944EA" w:rsidRPr="007944EA" w:rsidRDefault="00486A0C" w:rsidP="00486A0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486A0C">
        <w:rPr>
          <w:rFonts w:ascii="Times New Roman" w:hAnsi="Times New Roman" w:cs="Times New Roman"/>
          <w:color w:val="000000"/>
          <w:sz w:val="24"/>
          <w:szCs w:val="24"/>
          <w:lang w:val="hy-AM"/>
        </w:rPr>
        <w:t>Թվային ռուբլին եզակի էլեկտրոնային կոդ է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486A0C">
        <w:rPr>
          <w:rFonts w:ascii="Times New Roman" w:hAnsi="Times New Roman" w:cs="Times New Roman"/>
          <w:color w:val="000000"/>
          <w:sz w:val="24"/>
          <w:szCs w:val="24"/>
          <w:lang w:val="hy-AM"/>
        </w:rPr>
        <w:t>Ի տարբերություն կրիպտոարժույթի, այն թողարկվում է բացառապես Ռուսաստանի բանկի կողմից: Այն նաև ապահովված է ոսկու և արտարժույթի պահուստներով և կապված է ազգային արժույթի արժեքի հետ: Թվային ռուբլիները կպահվեն թվային դրամապանակներում՝ կարգավորողի կողմից մշակված հարթակում։ Դրա պատճառով նրանք չեն կապվի կոնկրետ բանկի կամ էլեկտրոնային դրամապանակի հետ։</w:t>
      </w:r>
    </w:p>
    <w:p w14:paraId="723FED18" w14:textId="472841C1" w:rsidR="007944EA" w:rsidRPr="007944EA" w:rsidRDefault="00486A0C" w:rsidP="00486A0C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lang w:val="hy-AM"/>
        </w:rPr>
      </w:pPr>
      <w:r w:rsidRPr="00486A0C">
        <w:rPr>
          <w:rFonts w:ascii="Times New Roman" w:hAnsi="Times New Roman" w:cs="Times New Roman"/>
          <w:sz w:val="24"/>
          <w:szCs w:val="24"/>
          <w:lang w:val="hy-AM"/>
        </w:rPr>
        <w:t>Լուրեր Հայաստանից - NEWS.am</w:t>
      </w:r>
    </w:p>
    <w:sectPr w:rsidR="007944EA" w:rsidRPr="0079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EA"/>
    <w:rsid w:val="001871E8"/>
    <w:rsid w:val="003630FC"/>
    <w:rsid w:val="003B5800"/>
    <w:rsid w:val="00486A0C"/>
    <w:rsid w:val="00590380"/>
    <w:rsid w:val="0061158F"/>
    <w:rsid w:val="0079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8AB4"/>
  <w15:chartTrackingRefBased/>
  <w15:docId w15:val="{323A387F-6E14-4892-BDA2-33B64EAF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Doganay.Eryilmaz</dc:creator>
  <cp:keywords/>
  <dc:description/>
  <cp:lastModifiedBy>.</cp:lastModifiedBy>
  <cp:revision>2</cp:revision>
  <dcterms:created xsi:type="dcterms:W3CDTF">2023-07-11T19:25:00Z</dcterms:created>
  <dcterms:modified xsi:type="dcterms:W3CDTF">2023-07-11T19:25:00Z</dcterms:modified>
</cp:coreProperties>
</file>