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86588" w:rsidRPr="00466B3E" w:rsidRDefault="00B86588" w:rsidP="00B86588">
            <w:pPr>
              <w:autoSpaceDE w:val="0"/>
              <w:autoSpaceDN w:val="0"/>
              <w:adjustRightInd w:val="0"/>
              <w:outlineLvl w:val="0"/>
              <w:rPr>
                <w:rFonts w:ascii="Andalus" w:eastAsiaTheme="minorHAnsi" w:hAnsi="Andalus" w:cs="Andalus"/>
                <w:b/>
                <w:bCs/>
                <w:szCs w:val="20"/>
                <w:lang w:eastAsia="en-US"/>
              </w:rPr>
            </w:pPr>
            <w:r>
              <w:rPr>
                <w:rFonts w:ascii="Andalus" w:eastAsiaTheme="minorHAnsi" w:hAnsi="Andalus" w:cs="Andalus"/>
                <w:b/>
                <w:bCs/>
                <w:szCs w:val="20"/>
                <w:lang w:eastAsia="en-US"/>
              </w:rPr>
              <w:t>EDP432</w:t>
            </w:r>
            <w:r w:rsidRPr="00466B3E">
              <w:rPr>
                <w:rFonts w:ascii="Andalus" w:eastAsiaTheme="minorHAnsi" w:hAnsi="Andalus" w:cs="Andalus"/>
                <w:b/>
                <w:bCs/>
                <w:szCs w:val="20"/>
                <w:lang w:eastAsia="en-US"/>
              </w:rPr>
              <w:t xml:space="preserve">Arabic </w:t>
            </w:r>
            <w:proofErr w:type="spellStart"/>
            <w:r w:rsidRPr="00466B3E">
              <w:rPr>
                <w:rFonts w:ascii="Andalus" w:eastAsiaTheme="minorHAnsi" w:hAnsi="Andalus" w:cs="Andalus"/>
                <w:b/>
                <w:bCs/>
                <w:szCs w:val="20"/>
                <w:lang w:eastAsia="en-US"/>
              </w:rPr>
              <w:t>Text</w:t>
            </w:r>
            <w:proofErr w:type="spellEnd"/>
            <w:r w:rsidRPr="00466B3E">
              <w:rPr>
                <w:rFonts w:ascii="Andalus" w:eastAsiaTheme="minorHAnsi" w:hAnsi="Andalus" w:cs="Andalus"/>
                <w:b/>
                <w:bCs/>
                <w:szCs w:val="20"/>
                <w:lang w:eastAsia="en-US"/>
              </w:rPr>
              <w:t xml:space="preserve"> </w:t>
            </w:r>
            <w:proofErr w:type="spellStart"/>
            <w:r w:rsidRPr="00466B3E">
              <w:rPr>
                <w:rFonts w:ascii="Andalus" w:eastAsiaTheme="minorHAnsi" w:hAnsi="Andalus" w:cs="Andalus"/>
                <w:b/>
                <w:bCs/>
                <w:szCs w:val="20"/>
                <w:lang w:eastAsia="en-US"/>
              </w:rPr>
              <w:t>In</w:t>
            </w:r>
            <w:proofErr w:type="spellEnd"/>
            <w:r w:rsidRPr="00466B3E">
              <w:rPr>
                <w:rFonts w:ascii="Andalus" w:eastAsiaTheme="minorHAnsi" w:hAnsi="Andalus" w:cs="Andalus"/>
                <w:b/>
                <w:bCs/>
                <w:szCs w:val="20"/>
                <w:lang w:eastAsia="en-US"/>
              </w:rPr>
              <w:t xml:space="preserve"> </w:t>
            </w:r>
            <w:proofErr w:type="spellStart"/>
            <w:r w:rsidRPr="00466B3E">
              <w:rPr>
                <w:rFonts w:ascii="Andalus" w:eastAsiaTheme="minorHAnsi" w:hAnsi="Andalus" w:cs="Andalus"/>
                <w:b/>
                <w:bCs/>
                <w:szCs w:val="20"/>
                <w:lang w:eastAsia="en-US"/>
              </w:rPr>
              <w:t>Islamic</w:t>
            </w:r>
            <w:proofErr w:type="spellEnd"/>
            <w:r w:rsidRPr="00466B3E">
              <w:rPr>
                <w:rFonts w:ascii="Andalus" w:eastAsiaTheme="minorHAnsi" w:hAnsi="Andalus" w:cs="Andalus"/>
                <w:b/>
                <w:bCs/>
                <w:szCs w:val="20"/>
                <w:lang w:eastAsia="en-US"/>
              </w:rPr>
              <w:t xml:space="preserve"> </w:t>
            </w:r>
            <w:proofErr w:type="spellStart"/>
            <w:r w:rsidRPr="00466B3E">
              <w:rPr>
                <w:rFonts w:ascii="Andalus" w:eastAsiaTheme="minorHAnsi" w:hAnsi="Andalus" w:cs="Andalus"/>
                <w:b/>
                <w:bCs/>
                <w:szCs w:val="20"/>
                <w:lang w:eastAsia="en-US"/>
              </w:rPr>
              <w:t>Philosophy</w:t>
            </w:r>
            <w:proofErr w:type="spellEnd"/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B865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Müfit Selim SARUHAN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B865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B865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B86588" w:rsidP="00B86588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seçmeli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86588" w:rsidRPr="00466B3E" w:rsidRDefault="00B86588" w:rsidP="00B86588">
            <w:pPr>
              <w:pStyle w:val="Default"/>
              <w:rPr>
                <w:rFonts w:ascii="Andalus" w:hAnsi="Andalus" w:cs="Andalus"/>
                <w:color w:val="auto"/>
                <w:sz w:val="20"/>
                <w:szCs w:val="20"/>
              </w:rPr>
            </w:pP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purpose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this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is </w:t>
            </w:r>
            <w:proofErr w:type="spellStart"/>
            <w:proofErr w:type="gram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to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deal</w:t>
            </w:r>
            <w:proofErr w:type="spellEnd"/>
            <w:proofErr w:type="gram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with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major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works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Islamic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Philosophers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their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arabic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writings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Within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framework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students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will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have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chance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to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read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examine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original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books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Islamic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philosophers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. 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deals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with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evaluation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philosophical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ideas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in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case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al Kindi, </w:t>
            </w:r>
            <w:proofErr w:type="gram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Farabi ,</w:t>
            </w:r>
            <w:proofErr w:type="spellStart"/>
            <w:r w:rsidRPr="00466B3E">
              <w:rPr>
                <w:color w:val="auto"/>
                <w:sz w:val="20"/>
                <w:szCs w:val="20"/>
                <w:lang w:eastAsia="tr-TR"/>
              </w:rPr>
              <w:t>İ</w:t>
            </w:r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bn</w:t>
            </w:r>
            <w:proofErr w:type="spellEnd"/>
            <w:proofErr w:type="gram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Sina al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Ghazali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’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ıbn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Rushd’s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texts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Within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border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this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students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will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get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through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arabic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texts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in </w:t>
            </w:r>
            <w:proofErr w:type="spellStart"/>
            <w:proofErr w:type="gram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Ethics,Descriptions</w:t>
            </w:r>
            <w:proofErr w:type="gram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,Poli</w:t>
            </w:r>
            <w:r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tics,Ontology</w:t>
            </w:r>
            <w:proofErr w:type="spellEnd"/>
            <w:r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,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Epistemology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reconciliation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religion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philosophy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Our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at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same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time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includes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brief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concise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explanations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about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Islamic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Philosophers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.</w:t>
            </w:r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Through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reading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discussing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intellectually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engaging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these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sources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will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allow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students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to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appreciate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methodology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used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to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interpret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philosophical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documents</w:t>
            </w:r>
            <w:proofErr w:type="spellEnd"/>
            <w:proofErr w:type="gram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begin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to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develop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their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own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skill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set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interpretive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tools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86588" w:rsidRPr="00466B3E" w:rsidRDefault="00B86588" w:rsidP="00B86588">
            <w:pPr>
              <w:pStyle w:val="Default"/>
              <w:rPr>
                <w:rFonts w:ascii="Andalus" w:hAnsi="Andalus" w:cs="Andalus"/>
                <w:color w:val="auto"/>
                <w:sz w:val="20"/>
                <w:szCs w:val="20"/>
              </w:rPr>
            </w:pP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purpose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this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is </w:t>
            </w:r>
            <w:proofErr w:type="spellStart"/>
            <w:proofErr w:type="gram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to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deal</w:t>
            </w:r>
            <w:proofErr w:type="spellEnd"/>
            <w:proofErr w:type="gram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with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major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works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Islamic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Philosophers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their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arabic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writings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Within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framework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students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will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have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chance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to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read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examine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original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books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Islamic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philosophers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. 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deals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with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evaluation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philosophical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ideas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in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case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al Kindi, </w:t>
            </w:r>
            <w:proofErr w:type="gram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Farabi ,</w:t>
            </w:r>
            <w:proofErr w:type="spellStart"/>
            <w:r w:rsidRPr="00466B3E">
              <w:rPr>
                <w:color w:val="auto"/>
                <w:sz w:val="20"/>
                <w:szCs w:val="20"/>
                <w:lang w:eastAsia="tr-TR"/>
              </w:rPr>
              <w:t>İ</w:t>
            </w:r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bn</w:t>
            </w:r>
            <w:proofErr w:type="spellEnd"/>
            <w:proofErr w:type="gram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Sina al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Ghazali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’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ıbn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Rushd’s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texts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Within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border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this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students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will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get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through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arabic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texts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in </w:t>
            </w:r>
            <w:proofErr w:type="spellStart"/>
            <w:proofErr w:type="gram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Ethics,Descriptions</w:t>
            </w:r>
            <w:proofErr w:type="gram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,Poli</w:t>
            </w:r>
            <w:r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tics,Ontology</w:t>
            </w:r>
            <w:proofErr w:type="spellEnd"/>
            <w:r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,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Epistemology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reconciliation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religion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philosophy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Our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at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same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time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includes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brief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concise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explanations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about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Islamic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Philosophers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  <w:lang w:eastAsia="tr-TR"/>
              </w:rPr>
              <w:t>.</w:t>
            </w:r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Through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reading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discussing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intellectually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engaging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these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sources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course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will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allow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students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to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appreciate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the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methodology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used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to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interpret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philosophical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documents</w:t>
            </w:r>
            <w:proofErr w:type="spellEnd"/>
            <w:proofErr w:type="gram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and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begin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to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develop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their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own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skill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set of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interpretive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>tools</w:t>
            </w:r>
            <w:proofErr w:type="spellEnd"/>
            <w:r w:rsidRPr="00466B3E">
              <w:rPr>
                <w:rFonts w:ascii="Andalus" w:hAnsi="Andalus" w:cs="Andalus"/>
                <w:color w:val="auto"/>
                <w:sz w:val="20"/>
                <w:szCs w:val="20"/>
              </w:rPr>
              <w:t xml:space="preserve">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B865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B865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86588" w:rsidRPr="00466B3E" w:rsidRDefault="00B86588" w:rsidP="00B8658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ndalus" w:eastAsiaTheme="minorHAnsi" w:hAnsi="Andalus" w:cs="Andalus"/>
                <w:sz w:val="20"/>
                <w:szCs w:val="20"/>
                <w:lang w:val="tr-TR" w:eastAsia="en-US"/>
              </w:rPr>
            </w:pPr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 xml:space="preserve">Al Kindi,  </w:t>
            </w:r>
            <w:hyperlink r:id="rId5" w:history="1">
              <w:r w:rsidRPr="00466B3E">
                <w:rPr>
                  <w:rFonts w:ascii="Andalus" w:hAnsi="Andalus" w:cs="Andalus"/>
                  <w:sz w:val="20"/>
                  <w:szCs w:val="20"/>
                  <w:rtl/>
                </w:rPr>
                <w:t xml:space="preserve">رسالة في حدود الأشياء ورسومها </w:t>
              </w:r>
            </w:hyperlink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 xml:space="preserve">    “On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>Definitions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>Descriptions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>Things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>’’ in  “</w:t>
            </w:r>
            <w:proofErr w:type="spellStart"/>
            <w:r w:rsidRPr="00466B3E">
              <w:fldChar w:fldCharType="begin"/>
            </w:r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instrText xml:space="preserve"> HYPERLINK "http://www.muslimphilosophy.com/books/rasil-kindni.pdf" \t "_blank" </w:instrText>
            </w:r>
            <w:r w:rsidRPr="00466B3E">
              <w:fldChar w:fldCharType="separate"/>
            </w:r>
            <w:r w:rsidRPr="00466B3E">
              <w:rPr>
                <w:rStyle w:val="Kpr"/>
                <w:rFonts w:ascii="Andalus" w:hAnsi="Andalus" w:cs="Andalus"/>
                <w:sz w:val="20"/>
                <w:szCs w:val="20"/>
                <w:lang w:val="tr-TR"/>
              </w:rPr>
              <w:t>Rasa'il</w:t>
            </w:r>
            <w:proofErr w:type="spellEnd"/>
            <w:r w:rsidRPr="00466B3E">
              <w:rPr>
                <w:rStyle w:val="Kpr"/>
                <w:rFonts w:ascii="Andalus" w:hAnsi="Andalus" w:cs="Andalus"/>
                <w:sz w:val="20"/>
                <w:szCs w:val="20"/>
                <w:lang w:val="tr-TR"/>
              </w:rPr>
              <w:t xml:space="preserve"> al-kindi al-</w:t>
            </w:r>
            <w:proofErr w:type="spellStart"/>
            <w:r w:rsidRPr="00466B3E">
              <w:rPr>
                <w:rStyle w:val="Kpr"/>
                <w:rFonts w:ascii="Andalus" w:hAnsi="Andalus" w:cs="Andalus"/>
                <w:sz w:val="20"/>
                <w:szCs w:val="20"/>
                <w:lang w:val="tr-TR"/>
              </w:rPr>
              <w:t>falsafiyah</w:t>
            </w:r>
            <w:proofErr w:type="spellEnd"/>
            <w:r w:rsidRPr="00466B3E">
              <w:rPr>
                <w:rStyle w:val="Kpr"/>
                <w:rFonts w:ascii="Andalus" w:hAnsi="Andalus" w:cs="Andalus"/>
                <w:sz w:val="20"/>
                <w:szCs w:val="20"/>
              </w:rPr>
              <w:fldChar w:fldCharType="end"/>
            </w:r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>Edited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>by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 xml:space="preserve"> M. A. H. Abu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>Riadah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/>
              </w:rPr>
              <w:t xml:space="preserve"> (1950</w:t>
            </w:r>
          </w:p>
          <w:p w:rsidR="00B86588" w:rsidRPr="00466B3E" w:rsidRDefault="00B86588" w:rsidP="00B8658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ndalus" w:hAnsi="Andalus" w:cs="Andalus"/>
                <w:sz w:val="20"/>
                <w:szCs w:val="20"/>
              </w:rPr>
            </w:pPr>
            <w:r w:rsidRPr="00466B3E">
              <w:rPr>
                <w:rFonts w:ascii="Andalus" w:hAnsi="Andalus" w:cs="Andalus"/>
                <w:sz w:val="20"/>
                <w:szCs w:val="20"/>
              </w:rPr>
              <w:t xml:space="preserve">Al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</w:rPr>
              <w:t>Farabi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</w:rPr>
              <w:t xml:space="preserve">, </w:t>
            </w:r>
            <w:r w:rsidRPr="00466B3E">
              <w:rPr>
                <w:rFonts w:ascii="Andalus" w:hAnsi="Andalus" w:cs="Andalus"/>
                <w:i/>
                <w:iCs/>
                <w:sz w:val="20"/>
                <w:szCs w:val="20"/>
              </w:rPr>
              <w:t>On The Perfect State al-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</w:rPr>
              <w:t>Farabi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</w:rPr>
              <w:t xml:space="preserve">,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</w:rPr>
              <w:t>ed</w:t>
            </w:r>
            <w:proofErr w:type="gramStart"/>
            <w:r w:rsidRPr="00466B3E">
              <w:rPr>
                <w:rFonts w:ascii="Andalus" w:hAnsi="Andalus" w:cs="Andalus"/>
                <w:sz w:val="20"/>
                <w:szCs w:val="20"/>
              </w:rPr>
              <w:t>:S.h.Nasr</w:t>
            </w:r>
            <w:proofErr w:type="spellEnd"/>
            <w:proofErr w:type="gramEnd"/>
            <w:r w:rsidRPr="00466B3E">
              <w:rPr>
                <w:rFonts w:ascii="Andalus" w:hAnsi="Andalus" w:cs="Andalus"/>
                <w:sz w:val="20"/>
                <w:szCs w:val="20"/>
              </w:rPr>
              <w:t xml:space="preserve"> . Revised text with introduction Translation and Commentary by Richard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</w:rPr>
              <w:t>Walzer,Oxford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</w:rPr>
              <w:t xml:space="preserve"> University Press ,1985</w:t>
            </w:r>
          </w:p>
          <w:p w:rsidR="00B86588" w:rsidRPr="00466B3E" w:rsidRDefault="00B86588" w:rsidP="00B86588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ndalus" w:hAnsi="Andalus" w:cs="Andalus"/>
                <w:sz w:val="20"/>
                <w:szCs w:val="20"/>
                <w:lang w:val="tr-TR" w:eastAsia="tr-TR"/>
              </w:rPr>
            </w:pP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Ibn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Rushd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:  </w:t>
            </w:r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On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Harmony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Religions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bookmarkStart w:id="0" w:name="_GoBack"/>
            <w:bookmarkEnd w:id="0"/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Philosophy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, in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Arabic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Kitab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fasl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al-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maqal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with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its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appendix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(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Damima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).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Appended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is  an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extract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from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Kitab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al-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kashf`an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manahij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al-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adilla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published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translated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  as:- . 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Averröes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The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Philosophy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and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Theology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Averroes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, </w:t>
            </w:r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trans.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Mohammed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Jamil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-al-Rahman (Baroda: A. G.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Widgery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 xml:space="preserve">, 1921), </w:t>
            </w:r>
            <w:proofErr w:type="spellStart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pp</w:t>
            </w:r>
            <w:proofErr w:type="spellEnd"/>
            <w:r w:rsidRPr="00466B3E">
              <w:rPr>
                <w:rFonts w:ascii="Andalus" w:hAnsi="Andalus" w:cs="Andalus"/>
                <w:sz w:val="20"/>
                <w:szCs w:val="20"/>
                <w:lang w:val="tr-TR" w:eastAsia="tr-TR"/>
              </w:rPr>
              <w:t>. 14-19, 122-131, 204-229, 242-249, 260-283, 300-308.</w:t>
            </w:r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A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more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recent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edition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is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edited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by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 George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Hourani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, (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Leiden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 xml:space="preserve">, E. J. </w:t>
            </w:r>
            <w:proofErr w:type="spellStart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Brill</w:t>
            </w:r>
            <w:proofErr w:type="spellEnd"/>
            <w:r w:rsidRPr="00466B3E">
              <w:rPr>
                <w:rFonts w:ascii="Andalus" w:hAnsi="Andalus" w:cs="Andalus"/>
                <w:i/>
                <w:iCs/>
                <w:sz w:val="20"/>
                <w:szCs w:val="20"/>
                <w:lang w:val="tr-TR" w:eastAsia="tr-TR"/>
              </w:rPr>
              <w:t>, 1959).</w:t>
            </w:r>
          </w:p>
          <w:p w:rsidR="00BC32DD" w:rsidRPr="00B86588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51B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E1855"/>
    <w:multiLevelType w:val="hybridMultilevel"/>
    <w:tmpl w:val="A0F0AE5E"/>
    <w:lvl w:ilvl="0" w:tplc="AA18D9C2">
      <w:numFmt w:val="bullet"/>
      <w:lvlText w:val=""/>
      <w:lvlJc w:val="left"/>
      <w:pPr>
        <w:ind w:left="145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444DA"/>
    <w:rsid w:val="00832BE3"/>
    <w:rsid w:val="00B86588"/>
    <w:rsid w:val="00BC32DD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45A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B8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86588"/>
    <w:pPr>
      <w:ind w:left="720"/>
      <w:contextualSpacing/>
      <w:jc w:val="left"/>
    </w:pPr>
    <w:rPr>
      <w:rFonts w:ascii="Times New Roman" w:hAnsi="Times New Roman"/>
      <w:sz w:val="24"/>
      <w:lang w:val="en-GB" w:eastAsia="en-GB"/>
    </w:rPr>
  </w:style>
  <w:style w:type="character" w:styleId="Kpr">
    <w:name w:val="Hyperlink"/>
    <w:basedOn w:val="VarsaylanParagrafYazTipi"/>
    <w:uiPriority w:val="99"/>
    <w:semiHidden/>
    <w:unhideWhenUsed/>
    <w:rsid w:val="00B86588"/>
    <w:rPr>
      <w:strike w:val="0"/>
      <w:dstrike w:val="0"/>
      <w:color w:val="0066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.tr/url?sa=t&amp;rct=j&amp;q=&amp;esrc=s&amp;source=web&amp;cd=1&amp;cad=rja&amp;uact=8&amp;ved=0CBsQFjAA&amp;url=http%3A%2F%2Far.wikisource.org%2Fwiki%2F%25D8%25B1%25D8%25B3%25D8%25A7%25D9%2584%25D8%25A9_%25D9%2581%25D9%258A_%25D8%25AD%25D8%25AF%25D9%2588%25D8%25AF_%25D8%25A7%25D9%2584%25D8%25A3%25D8%25B4%25D9%258A%25D8%25A7%25D8%25A1_%25D9%2588%25D8%25B1%25D8%25B3%25D9%2588%25D9%2585%25D9%2587%25D8%25A7&amp;ei=bWOiVLi9D4mvabv3gvgC&amp;usg=AFQjCNGYY8rrZWrFbhp-ebzNH1SIoT77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müfit</dc:creator>
  <cp:keywords/>
  <dc:description/>
  <cp:lastModifiedBy>user</cp:lastModifiedBy>
  <cp:revision>2</cp:revision>
  <dcterms:created xsi:type="dcterms:W3CDTF">2023-12-26T13:59:00Z</dcterms:created>
  <dcterms:modified xsi:type="dcterms:W3CDTF">2023-12-26T13:59:00Z</dcterms:modified>
</cp:coreProperties>
</file>