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 w:type="dxa"/>
        <w:tblLayout w:type="fixed"/>
        <w:tblCellMar>
          <w:left w:w="10" w:type="dxa"/>
          <w:right w:w="10" w:type="dxa"/>
        </w:tblCellMar>
        <w:tblLook w:val="0000" w:firstRow="0" w:lastRow="0" w:firstColumn="0" w:lastColumn="0" w:noHBand="0" w:noVBand="0"/>
      </w:tblPr>
      <w:tblGrid>
        <w:gridCol w:w="400"/>
        <w:gridCol w:w="340"/>
        <w:gridCol w:w="60"/>
        <w:gridCol w:w="40"/>
        <w:gridCol w:w="40"/>
        <w:gridCol w:w="40"/>
        <w:gridCol w:w="60"/>
        <w:gridCol w:w="480"/>
        <w:gridCol w:w="400"/>
        <w:gridCol w:w="40"/>
        <w:gridCol w:w="40"/>
        <w:gridCol w:w="220"/>
        <w:gridCol w:w="720"/>
        <w:gridCol w:w="140"/>
        <w:gridCol w:w="140"/>
        <w:gridCol w:w="60"/>
        <w:gridCol w:w="40"/>
        <w:gridCol w:w="640"/>
        <w:gridCol w:w="200"/>
        <w:gridCol w:w="80"/>
        <w:gridCol w:w="620"/>
        <w:gridCol w:w="100"/>
        <w:gridCol w:w="200"/>
        <w:gridCol w:w="160"/>
        <w:gridCol w:w="80"/>
        <w:gridCol w:w="80"/>
        <w:gridCol w:w="340"/>
        <w:gridCol w:w="320"/>
        <w:gridCol w:w="2640"/>
        <w:gridCol w:w="880"/>
        <w:gridCol w:w="1300"/>
        <w:gridCol w:w="20"/>
        <w:gridCol w:w="40"/>
        <w:gridCol w:w="80"/>
        <w:gridCol w:w="100"/>
        <w:gridCol w:w="80"/>
        <w:gridCol w:w="60"/>
        <w:gridCol w:w="60"/>
        <w:gridCol w:w="280"/>
        <w:gridCol w:w="400"/>
      </w:tblGrid>
      <w:tr w:rsidR="007C3995">
        <w:trPr>
          <w:trHeight w:hRule="exact" w:val="1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340" w:type="dxa"/>
          </w:tcPr>
          <w:p w:rsidR="007C3995" w:rsidRDefault="007C3995">
            <w:pPr>
              <w:pStyle w:val="EMPTYCELLSTYLE"/>
            </w:pPr>
          </w:p>
        </w:tc>
        <w:tc>
          <w:tcPr>
            <w:tcW w:w="7880" w:type="dxa"/>
            <w:gridSpan w:val="27"/>
            <w:tcMar>
              <w:top w:w="0" w:type="dxa"/>
              <w:left w:w="0" w:type="dxa"/>
              <w:bottom w:w="0" w:type="dxa"/>
              <w:right w:w="0" w:type="dxa"/>
            </w:tcMar>
          </w:tcPr>
          <w:p w:rsidR="007C3995" w:rsidRDefault="006E65C1">
            <w:r>
              <w:rPr>
                <w:rFonts w:ascii="Verdana" w:eastAsia="Verdana" w:hAnsi="Verdana" w:cs="Verdana"/>
                <w:sz w:val="36"/>
              </w:rPr>
              <w:t>SERAP AKYÜREK</w:t>
            </w: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7880" w:type="dxa"/>
            <w:gridSpan w:val="27"/>
            <w:tcMar>
              <w:top w:w="0" w:type="dxa"/>
              <w:left w:w="0" w:type="dxa"/>
              <w:bottom w:w="0" w:type="dxa"/>
              <w:right w:w="0" w:type="dxa"/>
            </w:tcMar>
          </w:tcPr>
          <w:p w:rsidR="007C3995" w:rsidRDefault="006E65C1">
            <w:r>
              <w:rPr>
                <w:rFonts w:ascii="Verdana" w:eastAsia="Verdana" w:hAnsi="Verdana" w:cs="Verdana"/>
                <w:sz w:val="28"/>
              </w:rPr>
              <w:t>PROFESÖR</w:t>
            </w: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E-Posta Adresi</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6E65C1">
            <w:r>
              <w:rPr>
                <w:rFonts w:ascii="Verdana" w:eastAsia="Verdana" w:hAnsi="Verdana" w:cs="Verdana"/>
              </w:rPr>
              <w:t>serapak2@gmail.com</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Telefon (İş)</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6E65C1" w:rsidP="003352A5">
            <w:r>
              <w:rPr>
                <w:rFonts w:ascii="Verdana" w:eastAsia="Verdana" w:hAnsi="Verdana" w:cs="Verdana"/>
              </w:rPr>
              <w:t>5956</w:t>
            </w:r>
            <w:r w:rsidR="003352A5">
              <w:rPr>
                <w:rFonts w:ascii="Verdana" w:eastAsia="Verdana" w:hAnsi="Verdana" w:cs="Verdana"/>
              </w:rPr>
              <w:t xml:space="preserve">2 85 </w:t>
            </w:r>
            <w:bookmarkStart w:id="0" w:name="_GoBack"/>
            <w:bookmarkEnd w:id="0"/>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Telefon (Cep)</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7C3995"/>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Faks</w:t>
            </w:r>
          </w:p>
        </w:tc>
        <w:tc>
          <w:tcPr>
            <w:tcW w:w="340" w:type="dxa"/>
            <w:tcMar>
              <w:top w:w="0" w:type="dxa"/>
              <w:left w:w="0" w:type="dxa"/>
              <w:bottom w:w="0" w:type="dxa"/>
              <w:right w:w="0" w:type="dxa"/>
            </w:tcMar>
          </w:tcPr>
          <w:p w:rsidR="007C3995" w:rsidRDefault="006E65C1">
            <w:r>
              <w:t>:</w:t>
            </w:r>
          </w:p>
        </w:tc>
        <w:tc>
          <w:tcPr>
            <w:tcW w:w="5840" w:type="dxa"/>
            <w:gridSpan w:val="12"/>
            <w:tcMar>
              <w:top w:w="0" w:type="dxa"/>
              <w:left w:w="0" w:type="dxa"/>
              <w:bottom w:w="0" w:type="dxa"/>
              <w:right w:w="0" w:type="dxa"/>
            </w:tcMar>
          </w:tcPr>
          <w:p w:rsidR="007C3995" w:rsidRDefault="006E65C1">
            <w:r>
              <w:rPr>
                <w:rFonts w:ascii="Verdana" w:eastAsia="Verdana" w:hAnsi="Verdana" w:cs="Verdana"/>
              </w:rPr>
              <w:t xml:space="preserve"> </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480" w:type="dxa"/>
            <w:gridSpan w:val="21"/>
            <w:tcMar>
              <w:top w:w="0" w:type="dxa"/>
              <w:left w:w="0" w:type="dxa"/>
              <w:bottom w:w="0" w:type="dxa"/>
              <w:right w:w="0" w:type="dxa"/>
            </w:tcMar>
          </w:tcPr>
          <w:p w:rsidR="007C3995" w:rsidRDefault="006E65C1">
            <w:r>
              <w:rPr>
                <w:rFonts w:ascii="Verdana" w:eastAsia="Verdana" w:hAnsi="Verdana" w:cs="Verdana"/>
                <w:b/>
              </w:rPr>
              <w:t>Adres</w:t>
            </w:r>
          </w:p>
        </w:tc>
        <w:tc>
          <w:tcPr>
            <w:tcW w:w="340" w:type="dxa"/>
            <w:tcMar>
              <w:top w:w="0" w:type="dxa"/>
              <w:left w:w="0" w:type="dxa"/>
              <w:bottom w:w="0" w:type="dxa"/>
              <w:right w:w="0" w:type="dxa"/>
            </w:tcMar>
          </w:tcPr>
          <w:p w:rsidR="007C3995" w:rsidRDefault="006E65C1">
            <w:r>
              <w:t>:</w:t>
            </w:r>
          </w:p>
        </w:tc>
        <w:tc>
          <w:tcPr>
            <w:tcW w:w="5840" w:type="dxa"/>
            <w:gridSpan w:val="12"/>
            <w:vMerge w:val="restart"/>
            <w:tcMar>
              <w:top w:w="0" w:type="dxa"/>
              <w:left w:w="0" w:type="dxa"/>
              <w:bottom w:w="0" w:type="dxa"/>
              <w:right w:w="0" w:type="dxa"/>
            </w:tcMar>
          </w:tcPr>
          <w:p w:rsidR="007C3995" w:rsidRDefault="006E65C1">
            <w:r>
              <w:rPr>
                <w:rFonts w:ascii="Verdana" w:eastAsia="Verdana" w:hAnsi="Verdana" w:cs="Verdana"/>
                <w:sz w:val="18"/>
              </w:rPr>
              <w:t>Ankara Üniversitesi Tıp Fakültesi Radyasyon Onkolojisi Anabilimdalı</w:t>
            </w:r>
          </w:p>
        </w:tc>
        <w:tc>
          <w:tcPr>
            <w:tcW w:w="400" w:type="dxa"/>
          </w:tcPr>
          <w:p w:rsidR="007C3995" w:rsidRDefault="007C3995">
            <w:pPr>
              <w:pStyle w:val="EMPTYCELLSTYLE"/>
            </w:pPr>
          </w:p>
        </w:tc>
      </w:tr>
      <w:tr w:rsidR="007C3995">
        <w:trPr>
          <w:trHeight w:hRule="exact" w:val="6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5840" w:type="dxa"/>
            <w:gridSpan w:val="12"/>
            <w:vMerge/>
            <w:tcMar>
              <w:top w:w="0" w:type="dxa"/>
              <w:left w:w="0" w:type="dxa"/>
              <w:bottom w:w="0" w:type="dxa"/>
              <w:right w:w="0" w:type="dxa"/>
            </w:tcMar>
          </w:tcPr>
          <w:p w:rsidR="007C3995" w:rsidRDefault="007C3995">
            <w:pPr>
              <w:pStyle w:val="EMPTYCELLSTYLE"/>
            </w:pPr>
          </w:p>
        </w:tc>
        <w:tc>
          <w:tcPr>
            <w:tcW w:w="400" w:type="dxa"/>
          </w:tcPr>
          <w:p w:rsidR="007C3995" w:rsidRDefault="007C3995">
            <w:pPr>
              <w:pStyle w:val="EMPTYCELLSTYLE"/>
            </w:pPr>
          </w:p>
        </w:tc>
      </w:tr>
      <w:tr w:rsidR="007C3995">
        <w:trPr>
          <w:trHeight w:hRule="exact" w:val="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5180" w:type="dxa"/>
            <w:gridSpan w:val="25"/>
            <w:tcMar>
              <w:top w:w="0" w:type="dxa"/>
              <w:left w:w="0" w:type="dxa"/>
              <w:bottom w:w="0" w:type="dxa"/>
              <w:right w:w="0" w:type="dxa"/>
            </w:tcMar>
          </w:tcPr>
          <w:p w:rsidR="007C3995" w:rsidRDefault="006E65C1">
            <w:r>
              <w:rPr>
                <w:rFonts w:ascii="Verdana" w:eastAsia="Verdana" w:hAnsi="Verdana" w:cs="Verdana"/>
                <w:b/>
                <w:color w:val="666666"/>
                <w:sz w:val="24"/>
              </w:rPr>
              <w:t>Öğrenim Bilgisi</w:t>
            </w: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vAlign w:val="bottom"/>
          </w:tcPr>
          <w:p w:rsidR="007C3995" w:rsidRDefault="006E65C1">
            <w:pPr>
              <w:jc w:val="center"/>
            </w:pPr>
            <w:r>
              <w:rPr>
                <w:rFonts w:ascii="Verdana" w:eastAsia="Verdana" w:hAnsi="Verdana" w:cs="Verdana"/>
                <w:sz w:val="18"/>
              </w:rPr>
              <w:t>Tıpta Uzmanlık</w:t>
            </w:r>
          </w:p>
        </w:tc>
        <w:tc>
          <w:tcPr>
            <w:tcW w:w="20" w:type="dxa"/>
          </w:tcPr>
          <w:p w:rsidR="007C3995" w:rsidRDefault="007C3995">
            <w:pPr>
              <w:pStyle w:val="EMPTYCELLSTYLE"/>
            </w:pPr>
          </w:p>
        </w:tc>
        <w:tc>
          <w:tcPr>
            <w:tcW w:w="7640" w:type="dxa"/>
            <w:gridSpan w:val="14"/>
            <w:tcMar>
              <w:top w:w="0" w:type="dxa"/>
              <w:left w:w="0" w:type="dxa"/>
              <w:bottom w:w="0" w:type="dxa"/>
              <w:right w:w="0" w:type="dxa"/>
            </w:tcMar>
            <w:vAlign w:val="bottom"/>
          </w:tcPr>
          <w:p w:rsidR="007C3995" w:rsidRDefault="006E65C1">
            <w:r>
              <w:rPr>
                <w:rFonts w:ascii="Verdana" w:eastAsia="Verdana" w:hAnsi="Verdana" w:cs="Verdana"/>
              </w:rPr>
              <w:t>HACETTEPE ÜNİVERSİTESİ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vAlign w:val="bottom"/>
          </w:tcPr>
          <w:p w:rsidR="007C3995" w:rsidRDefault="007C3995">
            <w:pPr>
              <w:pStyle w:val="EMPTYCELLSTYLE"/>
            </w:pPr>
          </w:p>
        </w:tc>
        <w:tc>
          <w:tcPr>
            <w:tcW w:w="20" w:type="dxa"/>
          </w:tcPr>
          <w:p w:rsidR="007C3995" w:rsidRDefault="007C3995">
            <w:pPr>
              <w:pStyle w:val="EMPTYCELLSTYLE"/>
            </w:pPr>
          </w:p>
        </w:tc>
        <w:tc>
          <w:tcPr>
            <w:tcW w:w="7640" w:type="dxa"/>
            <w:gridSpan w:val="14"/>
            <w:vMerge w:val="restart"/>
            <w:tcMar>
              <w:top w:w="0" w:type="dxa"/>
              <w:left w:w="0" w:type="dxa"/>
              <w:bottom w:w="0" w:type="dxa"/>
              <w:right w:w="0" w:type="dxa"/>
            </w:tcMar>
          </w:tcPr>
          <w:p w:rsidR="007C3995" w:rsidRDefault="006E65C1">
            <w:r>
              <w:rPr>
                <w:rFonts w:ascii="Verdana" w:eastAsia="Verdana" w:hAnsi="Verdana" w:cs="Verdana"/>
                <w:sz w:val="16"/>
              </w:rPr>
              <w:t>TIP FAKÜLTESİ/</w:t>
            </w:r>
            <w:proofErr w:type="gramStart"/>
            <w:r>
              <w:rPr>
                <w:rFonts w:ascii="Verdana" w:eastAsia="Verdana" w:hAnsi="Verdana" w:cs="Verdana"/>
                <w:sz w:val="16"/>
              </w:rPr>
              <w:t>DAHİLİ</w:t>
            </w:r>
            <w:proofErr w:type="gramEnd"/>
            <w:r>
              <w:rPr>
                <w:rFonts w:ascii="Verdana" w:eastAsia="Verdana" w:hAnsi="Verdana" w:cs="Verdana"/>
                <w:sz w:val="16"/>
              </w:rPr>
              <w:t xml:space="preserve"> TIP BİLİMLERİ BÖLÜMÜ/RADYASYON ONKOLOJİSİ ANABİLİM DALI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tcMar>
              <w:top w:w="0" w:type="dxa"/>
              <w:left w:w="0" w:type="dxa"/>
              <w:bottom w:w="0" w:type="dxa"/>
              <w:right w:w="0" w:type="dxa"/>
            </w:tcMar>
          </w:tcPr>
          <w:p w:rsidR="007C3995" w:rsidRDefault="006E65C1">
            <w:pPr>
              <w:jc w:val="center"/>
            </w:pPr>
            <w:r>
              <w:rPr>
                <w:rFonts w:ascii="Verdana" w:eastAsia="Verdana" w:hAnsi="Verdana" w:cs="Verdana"/>
                <w:sz w:val="16"/>
              </w:rPr>
              <w:t>1994</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tcPr>
          <w:p w:rsidR="007C3995" w:rsidRDefault="006E65C1">
            <w:pPr>
              <w:jc w:val="center"/>
            </w:pPr>
            <w:r>
              <w:rPr>
                <w:rFonts w:ascii="Verdana" w:eastAsia="Verdana" w:hAnsi="Verdana" w:cs="Verdana"/>
                <w:sz w:val="16"/>
              </w:rPr>
              <w:t>2000</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7640" w:type="dxa"/>
            <w:gridSpan w:val="14"/>
            <w:vMerge w:val="restart"/>
            <w:tcMar>
              <w:top w:w="0" w:type="dxa"/>
              <w:left w:w="0" w:type="dxa"/>
              <w:bottom w:w="0" w:type="dxa"/>
              <w:right w:w="0" w:type="dxa"/>
            </w:tcMar>
          </w:tcPr>
          <w:p w:rsidR="007C3995" w:rsidRDefault="006E65C1">
            <w:r>
              <w:rPr>
                <w:rFonts w:ascii="Verdana" w:eastAsia="Verdana" w:hAnsi="Verdana" w:cs="Verdana"/>
                <w:sz w:val="16"/>
              </w:rPr>
              <w:t>Tez adı: Kronik radyasyon enteropatisinin önlenmesinde tiklopidinin yeri (2000) Tez Danışmanı:(lale atahan)</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vAlign w:val="bottom"/>
          </w:tcPr>
          <w:p w:rsidR="007C3995" w:rsidRDefault="006E65C1">
            <w:pPr>
              <w:jc w:val="center"/>
            </w:pPr>
            <w:r>
              <w:rPr>
                <w:rFonts w:ascii="Verdana" w:eastAsia="Verdana" w:hAnsi="Verdana" w:cs="Verdana"/>
                <w:sz w:val="18"/>
              </w:rPr>
              <w:t>Tıpta Uzmanlık</w:t>
            </w:r>
          </w:p>
        </w:tc>
        <w:tc>
          <w:tcPr>
            <w:tcW w:w="20" w:type="dxa"/>
          </w:tcPr>
          <w:p w:rsidR="007C3995" w:rsidRDefault="007C3995">
            <w:pPr>
              <w:pStyle w:val="EMPTYCELLSTYLE"/>
            </w:pPr>
          </w:p>
        </w:tc>
        <w:tc>
          <w:tcPr>
            <w:tcW w:w="7640" w:type="dxa"/>
            <w:gridSpan w:val="14"/>
            <w:tcMar>
              <w:top w:w="0" w:type="dxa"/>
              <w:left w:w="0" w:type="dxa"/>
              <w:bottom w:w="0" w:type="dxa"/>
              <w:right w:w="0" w:type="dxa"/>
            </w:tcMar>
            <w:vAlign w:val="bottom"/>
          </w:tcPr>
          <w:p w:rsidR="007C3995" w:rsidRDefault="006E65C1">
            <w:r>
              <w:rPr>
                <w:rFonts w:ascii="Verdana" w:eastAsia="Verdana" w:hAnsi="Verdana" w:cs="Verdana"/>
              </w:rPr>
              <w:t>HACETTEPE ÜNİVERSİTESİ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vAlign w:val="bottom"/>
          </w:tcPr>
          <w:p w:rsidR="007C3995" w:rsidRDefault="007C3995">
            <w:pPr>
              <w:pStyle w:val="EMPTYCELLSTYLE"/>
            </w:pPr>
          </w:p>
        </w:tc>
        <w:tc>
          <w:tcPr>
            <w:tcW w:w="20" w:type="dxa"/>
          </w:tcPr>
          <w:p w:rsidR="007C3995" w:rsidRDefault="007C3995">
            <w:pPr>
              <w:pStyle w:val="EMPTYCELLSTYLE"/>
            </w:pPr>
          </w:p>
        </w:tc>
        <w:tc>
          <w:tcPr>
            <w:tcW w:w="7640" w:type="dxa"/>
            <w:gridSpan w:val="14"/>
            <w:vMerge w:val="restart"/>
            <w:tcMar>
              <w:top w:w="0" w:type="dxa"/>
              <w:left w:w="0" w:type="dxa"/>
              <w:bottom w:w="0" w:type="dxa"/>
              <w:right w:w="0" w:type="dxa"/>
            </w:tcMar>
          </w:tcPr>
          <w:p w:rsidR="007C3995" w:rsidRDefault="006E65C1">
            <w:r>
              <w:rPr>
                <w:rFonts w:ascii="Verdana" w:eastAsia="Verdana" w:hAnsi="Verdana" w:cs="Verdana"/>
                <w:sz w:val="16"/>
              </w:rPr>
              <w:t>TIP FAKÜLTESİ/</w:t>
            </w:r>
            <w:proofErr w:type="gramStart"/>
            <w:r>
              <w:rPr>
                <w:rFonts w:ascii="Verdana" w:eastAsia="Verdana" w:hAnsi="Verdana" w:cs="Verdana"/>
                <w:sz w:val="16"/>
              </w:rPr>
              <w:t>DAHİLİ</w:t>
            </w:r>
            <w:proofErr w:type="gramEnd"/>
            <w:r>
              <w:rPr>
                <w:rFonts w:ascii="Verdana" w:eastAsia="Verdana" w:hAnsi="Verdana" w:cs="Verdana"/>
                <w:sz w:val="16"/>
              </w:rPr>
              <w:t xml:space="preserve"> TIP BİLİMLERİ BÖLÜMÜ/RADYASYON ONKOLOJİSİ ANABİLİM DALI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tcMar>
              <w:top w:w="0" w:type="dxa"/>
              <w:left w:w="0" w:type="dxa"/>
              <w:bottom w:w="0" w:type="dxa"/>
              <w:right w:w="0" w:type="dxa"/>
            </w:tcMar>
          </w:tcPr>
          <w:p w:rsidR="007C3995" w:rsidRDefault="006E65C1">
            <w:pPr>
              <w:jc w:val="center"/>
            </w:pPr>
            <w:r>
              <w:rPr>
                <w:rFonts w:ascii="Verdana" w:eastAsia="Verdana" w:hAnsi="Verdana" w:cs="Verdana"/>
                <w:sz w:val="16"/>
              </w:rPr>
              <w:t>1994</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val="restart"/>
            <w:tcMar>
              <w:top w:w="0" w:type="dxa"/>
              <w:left w:w="0" w:type="dxa"/>
              <w:bottom w:w="0" w:type="dxa"/>
              <w:right w:w="0" w:type="dxa"/>
            </w:tcMar>
          </w:tcPr>
          <w:p w:rsidR="007C3995" w:rsidRDefault="006E65C1">
            <w:pPr>
              <w:jc w:val="center"/>
            </w:pPr>
            <w:r>
              <w:rPr>
                <w:rFonts w:ascii="Verdana" w:eastAsia="Verdana" w:hAnsi="Verdana" w:cs="Verdana"/>
                <w:sz w:val="16"/>
              </w:rPr>
              <w:t>2000</w:t>
            </w:r>
          </w:p>
        </w:tc>
        <w:tc>
          <w:tcPr>
            <w:tcW w:w="20" w:type="dxa"/>
          </w:tcPr>
          <w:p w:rsidR="007C3995" w:rsidRDefault="007C3995">
            <w:pPr>
              <w:pStyle w:val="EMPTYCELLSTYLE"/>
            </w:pPr>
          </w:p>
        </w:tc>
        <w:tc>
          <w:tcPr>
            <w:tcW w:w="7640" w:type="dxa"/>
            <w:gridSpan w:val="14"/>
            <w:vMerge/>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340" w:type="dxa"/>
            <w:gridSpan w:val="13"/>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3200" w:type="dxa"/>
            <w:gridSpan w:val="16"/>
            <w:tcMar>
              <w:top w:w="0" w:type="dxa"/>
              <w:left w:w="0" w:type="dxa"/>
              <w:bottom w:w="0" w:type="dxa"/>
              <w:right w:w="0" w:type="dxa"/>
            </w:tcMar>
          </w:tcPr>
          <w:p w:rsidR="007C3995" w:rsidRDefault="006E65C1">
            <w:r>
              <w:rPr>
                <w:rFonts w:ascii="Verdana" w:eastAsia="Verdana" w:hAnsi="Verdana" w:cs="Verdana"/>
                <w:b/>
                <w:color w:val="666666"/>
                <w:sz w:val="24"/>
              </w:rPr>
              <w:t>Görevler</w:t>
            </w: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vAlign w:val="bottom"/>
          </w:tcPr>
          <w:p w:rsidR="007C3995" w:rsidRDefault="006E65C1">
            <w:pPr>
              <w:jc w:val="center"/>
            </w:pPr>
            <w:r>
              <w:rPr>
                <w:rFonts w:ascii="Verdana" w:eastAsia="Verdana" w:hAnsi="Verdana" w:cs="Verdana"/>
                <w:sz w:val="16"/>
              </w:rPr>
              <w:t>DOÇENT</w:t>
            </w:r>
          </w:p>
        </w:tc>
        <w:tc>
          <w:tcPr>
            <w:tcW w:w="7720" w:type="dxa"/>
            <w:gridSpan w:val="16"/>
            <w:vMerge w:val="restart"/>
            <w:tcMar>
              <w:top w:w="0" w:type="dxa"/>
              <w:left w:w="0" w:type="dxa"/>
              <w:bottom w:w="0" w:type="dxa"/>
              <w:right w:w="0" w:type="dxa"/>
            </w:tcMar>
            <w:vAlign w:val="center"/>
          </w:tcPr>
          <w:p w:rsidR="007C3995" w:rsidRDefault="006E65C1">
            <w:r>
              <w:rPr>
                <w:rFonts w:ascii="Verdana" w:eastAsia="Verdana" w:hAnsi="Verdana" w:cs="Verdana"/>
                <w:sz w:val="18"/>
              </w:rPr>
              <w:t>ANKARA ÜNİVERSİTESİ/TIP FAKÜLTESİ/</w:t>
            </w:r>
            <w:proofErr w:type="gramStart"/>
            <w:r>
              <w:rPr>
                <w:rFonts w:ascii="Verdana" w:eastAsia="Verdana" w:hAnsi="Verdana" w:cs="Verdana"/>
                <w:sz w:val="18"/>
              </w:rPr>
              <w:t>DAHİLİ</w:t>
            </w:r>
            <w:proofErr w:type="gramEnd"/>
            <w:r>
              <w:rPr>
                <w:rFonts w:ascii="Verdana" w:eastAsia="Verdana" w:hAnsi="Verdana" w:cs="Verdana"/>
                <w:sz w:val="18"/>
              </w:rPr>
              <w:t xml:space="preserve"> TIP BİLİMLERİ BÖLÜMÜ/RADYASYON ONKOLOJİSİ ANABİLİM DALI)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tcPr>
          <w:p w:rsidR="007C3995" w:rsidRDefault="006E65C1">
            <w:pPr>
              <w:jc w:val="center"/>
            </w:pPr>
            <w:r>
              <w:rPr>
                <w:rFonts w:ascii="Verdana" w:eastAsia="Verdana" w:hAnsi="Verdana" w:cs="Verdana"/>
                <w:sz w:val="16"/>
              </w:rPr>
              <w:t xml:space="preserve">2008 </w:t>
            </w:r>
          </w:p>
        </w:tc>
        <w:tc>
          <w:tcPr>
            <w:tcW w:w="7720" w:type="dxa"/>
            <w:gridSpan w:val="16"/>
            <w:vMerge/>
            <w:tcMar>
              <w:top w:w="0" w:type="dxa"/>
              <w:left w:w="0" w:type="dxa"/>
              <w:bottom w:w="0" w:type="dxa"/>
              <w:right w:w="0" w:type="dxa"/>
            </w:tcMar>
            <w:vAlign w:val="cente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10000" w:type="dxa"/>
            <w:gridSpan w:val="28"/>
            <w:tcBorders>
              <w:top w:val="single" w:sz="8" w:space="0" w:color="FFFFFF"/>
              <w:left w:val="single" w:sz="8" w:space="0" w:color="FFFFFF"/>
              <w:bottom w:val="single" w:sz="8" w:space="0" w:color="FFFFFF"/>
              <w:right w:val="single" w:sz="8" w:space="0" w:color="FFFFFF"/>
            </w:tcBorders>
            <w:shd w:val="clear" w:color="auto" w:fill="CCCCCC"/>
            <w:tcMar>
              <w:top w:w="0" w:type="dxa"/>
              <w:left w:w="0" w:type="dxa"/>
              <w:bottom w:w="0" w:type="dxa"/>
              <w:right w:w="0" w:type="dxa"/>
            </w:tcMa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vAlign w:val="bottom"/>
          </w:tcPr>
          <w:p w:rsidR="007C3995" w:rsidRDefault="006E65C1">
            <w:pPr>
              <w:jc w:val="center"/>
            </w:pPr>
            <w:r>
              <w:rPr>
                <w:rFonts w:ascii="Verdana" w:eastAsia="Verdana" w:hAnsi="Verdana" w:cs="Verdana"/>
                <w:sz w:val="16"/>
              </w:rPr>
              <w:t>PROFESÖR</w:t>
            </w:r>
          </w:p>
        </w:tc>
        <w:tc>
          <w:tcPr>
            <w:tcW w:w="7720" w:type="dxa"/>
            <w:gridSpan w:val="16"/>
            <w:vMerge w:val="restart"/>
            <w:tcMar>
              <w:top w:w="0" w:type="dxa"/>
              <w:left w:w="0" w:type="dxa"/>
              <w:bottom w:w="0" w:type="dxa"/>
              <w:right w:w="0" w:type="dxa"/>
            </w:tcMar>
            <w:vAlign w:val="center"/>
          </w:tcPr>
          <w:p w:rsidR="007C3995" w:rsidRDefault="006E65C1">
            <w:r>
              <w:rPr>
                <w:rFonts w:ascii="Verdana" w:eastAsia="Verdana" w:hAnsi="Verdana" w:cs="Verdana"/>
                <w:sz w:val="18"/>
              </w:rPr>
              <w:t>ANKARA ÜNİVERSİTESİ/TIP FAKÜLTESİ)</w:t>
            </w: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280" w:type="dxa"/>
            <w:gridSpan w:val="12"/>
            <w:tcMar>
              <w:top w:w="0" w:type="dxa"/>
              <w:left w:w="0" w:type="dxa"/>
              <w:bottom w:w="0" w:type="dxa"/>
              <w:right w:w="0" w:type="dxa"/>
            </w:tcMar>
          </w:tcPr>
          <w:p w:rsidR="007C3995" w:rsidRDefault="006E65C1">
            <w:pPr>
              <w:jc w:val="center"/>
            </w:pPr>
            <w:r>
              <w:rPr>
                <w:rFonts w:ascii="Verdana" w:eastAsia="Verdana" w:hAnsi="Verdana" w:cs="Verdana"/>
                <w:sz w:val="16"/>
              </w:rPr>
              <w:t>2014-2015</w:t>
            </w:r>
          </w:p>
        </w:tc>
        <w:tc>
          <w:tcPr>
            <w:tcW w:w="7720" w:type="dxa"/>
            <w:gridSpan w:val="16"/>
            <w:vMerge/>
            <w:tcMar>
              <w:top w:w="0" w:type="dxa"/>
              <w:left w:w="0" w:type="dxa"/>
              <w:bottom w:w="0" w:type="dxa"/>
              <w:right w:w="0" w:type="dxa"/>
            </w:tcMar>
            <w:vAlign w:val="center"/>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4360" w:type="dxa"/>
            <w:gridSpan w:val="21"/>
            <w:tcMar>
              <w:top w:w="0" w:type="dxa"/>
              <w:left w:w="0" w:type="dxa"/>
              <w:bottom w:w="0" w:type="dxa"/>
              <w:right w:w="0" w:type="dxa"/>
            </w:tcMar>
          </w:tcPr>
          <w:p w:rsidR="007C3995" w:rsidRDefault="006E65C1">
            <w:r>
              <w:rPr>
                <w:rFonts w:ascii="Verdana" w:eastAsia="Verdana" w:hAnsi="Verdana" w:cs="Verdana"/>
                <w:b/>
                <w:color w:val="666666"/>
                <w:sz w:val="24"/>
              </w:rPr>
              <w:t>Yönetilen Tezler</w:t>
            </w: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4360" w:type="dxa"/>
            <w:gridSpan w:val="19"/>
            <w:tcMar>
              <w:top w:w="0" w:type="dxa"/>
              <w:left w:w="0" w:type="dxa"/>
              <w:bottom w:w="0" w:type="dxa"/>
              <w:right w:w="0" w:type="dxa"/>
            </w:tcMar>
          </w:tcPr>
          <w:p w:rsidR="007C3995" w:rsidRDefault="006E65C1">
            <w:r>
              <w:rPr>
                <w:rFonts w:ascii="Verdana" w:eastAsia="Verdana" w:hAnsi="Verdana" w:cs="Verdana"/>
                <w:b/>
                <w:color w:val="666666"/>
              </w:rPr>
              <w:t>Tıpta Uzmanlık</w:t>
            </w: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2000" w:type="dxa"/>
            <w:gridSpan w:val="7"/>
            <w:tcMar>
              <w:top w:w="0" w:type="dxa"/>
              <w:left w:w="0" w:type="dxa"/>
              <w:bottom w:w="0" w:type="dxa"/>
              <w:right w:w="0" w:type="dxa"/>
            </w:tcMar>
          </w:tcPr>
          <w:p w:rsidR="007C3995" w:rsidRDefault="006E65C1">
            <w:r>
              <w:rPr>
                <w:rFonts w:ascii="Verdana" w:eastAsia="Verdana" w:hAnsi="Verdana" w:cs="Verdana"/>
                <w:sz w:val="18"/>
              </w:rPr>
              <w:t>2017</w:t>
            </w: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950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5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620" w:type="dxa"/>
            <w:gridSpan w:val="5"/>
            <w:tcMar>
              <w:top w:w="0" w:type="dxa"/>
              <w:left w:w="0" w:type="dxa"/>
              <w:bottom w:w="0" w:type="dxa"/>
              <w:right w:w="0" w:type="dxa"/>
            </w:tcMar>
          </w:tcPr>
          <w:p w:rsidR="007C3995" w:rsidRDefault="006E65C1">
            <w:pPr>
              <w:jc w:val="center"/>
            </w:pPr>
            <w:r>
              <w:rPr>
                <w:rFonts w:ascii="Verdana" w:eastAsia="Verdana" w:hAnsi="Verdana" w:cs="Verdana"/>
                <w:sz w:val="18"/>
              </w:rPr>
              <w:t xml:space="preserve">1. </w:t>
            </w:r>
          </w:p>
        </w:tc>
        <w:tc>
          <w:tcPr>
            <w:tcW w:w="9500" w:type="dxa"/>
            <w:gridSpan w:val="26"/>
            <w:tcMar>
              <w:top w:w="0" w:type="dxa"/>
              <w:left w:w="0" w:type="dxa"/>
              <w:bottom w:w="0" w:type="dxa"/>
              <w:right w:w="0" w:type="dxa"/>
            </w:tcMar>
            <w:vAlign w:val="center"/>
          </w:tcPr>
          <w:p w:rsidR="007C3995" w:rsidRDefault="006E65C1">
            <w:pPr>
              <w:jc w:val="both"/>
            </w:pPr>
            <w:r>
              <w:rPr>
                <w:rFonts w:ascii="Verdana" w:eastAsia="Verdana" w:hAnsi="Verdana" w:cs="Verdana"/>
                <w:sz w:val="18"/>
              </w:rPr>
              <w:t>KÜTÜK TUĞÇE, (2017). Radyasyona bağlı hipokampal nörogenez inhibisyonunda tianeptinin etkisi, Ankara Üniversitesi-&gt;Tıp Fakültesi-&gt;Radyasyon Onkolojisi Anabilim Dalı</w:t>
            </w: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2000" w:type="dxa"/>
            <w:gridSpan w:val="7"/>
            <w:tcMar>
              <w:top w:w="0" w:type="dxa"/>
              <w:left w:w="0" w:type="dxa"/>
              <w:bottom w:w="0" w:type="dxa"/>
              <w:right w:w="0" w:type="dxa"/>
            </w:tcMar>
          </w:tcPr>
          <w:p w:rsidR="007C3995" w:rsidRDefault="006E65C1">
            <w:r>
              <w:rPr>
                <w:rFonts w:ascii="Verdana" w:eastAsia="Verdana" w:hAnsi="Verdana" w:cs="Verdana"/>
                <w:sz w:val="18"/>
              </w:rPr>
              <w:t>2012</w:t>
            </w: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9500" w:type="dxa"/>
            <w:gridSpan w:val="26"/>
            <w:tcBorders>
              <w:top w:val="single" w:sz="8" w:space="0" w:color="FFFFFF"/>
              <w:left w:val="single" w:sz="8" w:space="0" w:color="FFFFFF"/>
              <w:bottom w:val="single" w:sz="8" w:space="0" w:color="FFFFFF"/>
              <w:right w:val="single" w:sz="8" w:space="0" w:color="FFFFFF"/>
            </w:tcBorders>
            <w:shd w:val="clear" w:color="auto" w:fill="999999"/>
            <w:tcMar>
              <w:top w:w="0" w:type="dxa"/>
              <w:left w:w="0" w:type="dxa"/>
              <w:bottom w:w="0" w:type="dxa"/>
              <w:right w:w="0" w:type="dxa"/>
            </w:tcMar>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5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620" w:type="dxa"/>
            <w:gridSpan w:val="5"/>
            <w:tcMar>
              <w:top w:w="0" w:type="dxa"/>
              <w:left w:w="0" w:type="dxa"/>
              <w:bottom w:w="0" w:type="dxa"/>
              <w:right w:w="0" w:type="dxa"/>
            </w:tcMar>
          </w:tcPr>
          <w:p w:rsidR="007C3995" w:rsidRDefault="006E65C1">
            <w:pPr>
              <w:jc w:val="center"/>
            </w:pPr>
            <w:r>
              <w:rPr>
                <w:rFonts w:ascii="Verdana" w:eastAsia="Verdana" w:hAnsi="Verdana" w:cs="Verdana"/>
                <w:sz w:val="18"/>
              </w:rPr>
              <w:t xml:space="preserve">2. </w:t>
            </w:r>
          </w:p>
        </w:tc>
        <w:tc>
          <w:tcPr>
            <w:tcW w:w="9500" w:type="dxa"/>
            <w:gridSpan w:val="26"/>
            <w:tcMar>
              <w:top w:w="0" w:type="dxa"/>
              <w:left w:w="0" w:type="dxa"/>
              <w:bottom w:w="0" w:type="dxa"/>
              <w:right w:w="0" w:type="dxa"/>
            </w:tcMar>
            <w:vAlign w:val="center"/>
          </w:tcPr>
          <w:p w:rsidR="007C3995" w:rsidRDefault="006E65C1">
            <w:pPr>
              <w:jc w:val="both"/>
            </w:pPr>
            <w:r>
              <w:rPr>
                <w:rFonts w:ascii="Verdana" w:eastAsia="Verdana" w:hAnsi="Verdana" w:cs="Verdana"/>
                <w:sz w:val="18"/>
              </w:rPr>
              <w:t xml:space="preserve">ALTMIŞDÖRTOĞLU ÖZGÜR, (2012). Yumuşak doku sarkomlu hastalarda </w:t>
            </w:r>
            <w:proofErr w:type="gramStart"/>
            <w:r>
              <w:rPr>
                <w:rFonts w:ascii="Verdana" w:eastAsia="Verdana" w:hAnsi="Verdana" w:cs="Verdana"/>
                <w:sz w:val="18"/>
              </w:rPr>
              <w:t>radyoterapi</w:t>
            </w:r>
            <w:proofErr w:type="gramEnd"/>
            <w:r>
              <w:rPr>
                <w:rFonts w:ascii="Verdana" w:eastAsia="Verdana" w:hAnsi="Verdana" w:cs="Verdana"/>
                <w:sz w:val="18"/>
              </w:rPr>
              <w:t xml:space="preserve"> sonuçları ve prognostik faktörler, Ankara Üniversitesi-&gt;Tıp Fakültesi-&gt;Radyasyon Onkolojisi Anabilim Dalı</w:t>
            </w: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4200" w:type="dxa"/>
            <w:gridSpan w:val="20"/>
            <w:tcMar>
              <w:top w:w="0" w:type="dxa"/>
              <w:left w:w="0" w:type="dxa"/>
              <w:bottom w:w="0" w:type="dxa"/>
              <w:right w:w="0" w:type="dxa"/>
            </w:tcMar>
          </w:tcPr>
          <w:p w:rsidR="007C3995" w:rsidRDefault="006E65C1">
            <w:r>
              <w:rPr>
                <w:rFonts w:ascii="Verdana" w:eastAsia="Verdana" w:hAnsi="Verdana" w:cs="Verdana"/>
                <w:b/>
                <w:color w:val="666666"/>
                <w:sz w:val="24"/>
              </w:rPr>
              <w:t>Projelerde Yaptığı Görevler:</w:t>
            </w: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9160" w:type="dxa"/>
            <w:gridSpan w:val="24"/>
            <w:vMerge w:val="restart"/>
            <w:tcMar>
              <w:top w:w="0" w:type="dxa"/>
              <w:left w:w="0" w:type="dxa"/>
              <w:bottom w:w="0" w:type="dxa"/>
              <w:right w:w="0" w:type="dxa"/>
            </w:tcMar>
            <w:vAlign w:val="center"/>
          </w:tcPr>
          <w:p w:rsidR="007C3995" w:rsidRDefault="006E65C1">
            <w:pPr>
              <w:jc w:val="both"/>
            </w:pPr>
            <w:r>
              <w:rPr>
                <w:rFonts w:ascii="Verdana" w:eastAsia="Verdana" w:hAnsi="Verdana" w:cs="Verdana"/>
                <w:sz w:val="18"/>
              </w:rPr>
              <w:t xml:space="preserve">Radyasyona bağlı hipokampal nörogenez inhibisyonunda tianeptin etkisi, ARAŞTIRMA PROJESİ, </w:t>
            </w:r>
            <w:proofErr w:type="gramStart"/>
            <w:r>
              <w:rPr>
                <w:rFonts w:ascii="Verdana" w:eastAsia="Verdana" w:hAnsi="Verdana" w:cs="Verdana"/>
                <w:sz w:val="18"/>
              </w:rPr>
              <w:t>Yürütücü:AKYÜREK</w:t>
            </w:r>
            <w:proofErr w:type="gramEnd"/>
            <w:r>
              <w:rPr>
                <w:rFonts w:ascii="Verdana" w:eastAsia="Verdana" w:hAnsi="Verdana" w:cs="Verdana"/>
                <w:sz w:val="18"/>
              </w:rPr>
              <w:t xml:space="preserve"> SERAP,Araştırmacı:BİLLUR DENİZ, , 11/09/2015 - 17/03/2017 (ULUSAL) </w:t>
            </w: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1040" w:type="dxa"/>
            <w:gridSpan w:val="7"/>
            <w:tcMar>
              <w:top w:w="0" w:type="dxa"/>
              <w:left w:w="0" w:type="dxa"/>
              <w:bottom w:w="0" w:type="dxa"/>
              <w:right w:w="0" w:type="dxa"/>
            </w:tcMar>
            <w:vAlign w:val="center"/>
          </w:tcPr>
          <w:p w:rsidR="007C3995" w:rsidRDefault="006E65C1">
            <w:pPr>
              <w:jc w:val="center"/>
            </w:pPr>
            <w:r>
              <w:rPr>
                <w:rFonts w:ascii="Verdana" w:eastAsia="Verdana" w:hAnsi="Verdana" w:cs="Verdana"/>
                <w:sz w:val="18"/>
              </w:rPr>
              <w:t>1.</w:t>
            </w:r>
          </w:p>
        </w:tc>
        <w:tc>
          <w:tcPr>
            <w:tcW w:w="9160" w:type="dxa"/>
            <w:gridSpan w:val="24"/>
            <w:vMerge/>
            <w:tcMar>
              <w:top w:w="0" w:type="dxa"/>
              <w:left w:w="0" w:type="dxa"/>
              <w:bottom w:w="0" w:type="dxa"/>
              <w:right w:w="0" w:type="dxa"/>
            </w:tcMar>
            <w:vAlign w:val="center"/>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9160" w:type="dxa"/>
            <w:gridSpan w:val="24"/>
            <w:vMerge w:val="restart"/>
            <w:tcMar>
              <w:top w:w="0" w:type="dxa"/>
              <w:left w:w="0" w:type="dxa"/>
              <w:bottom w:w="0" w:type="dxa"/>
              <w:right w:w="0" w:type="dxa"/>
            </w:tcMar>
            <w:vAlign w:val="center"/>
          </w:tcPr>
          <w:p w:rsidR="007C3995" w:rsidRDefault="006E65C1">
            <w:pPr>
              <w:jc w:val="both"/>
            </w:pPr>
            <w:r>
              <w:rPr>
                <w:rFonts w:ascii="Verdana" w:eastAsia="Verdana" w:hAnsi="Verdana" w:cs="Verdana"/>
                <w:sz w:val="18"/>
              </w:rPr>
              <w:t xml:space="preserve">Radyastona Bağlı Hipokampal Nörogenez İnhibisyonunda Tianeptinin Etkisi, Yükseköğretim Kurumları tarafından destekli bilimsel araştırma projesi, </w:t>
            </w:r>
            <w:proofErr w:type="gramStart"/>
            <w:r>
              <w:rPr>
                <w:rFonts w:ascii="Verdana" w:eastAsia="Verdana" w:hAnsi="Verdana" w:cs="Verdana"/>
                <w:sz w:val="18"/>
              </w:rPr>
              <w:t>Yürütücü:AKYÜREK</w:t>
            </w:r>
            <w:proofErr w:type="gramEnd"/>
            <w:r>
              <w:rPr>
                <w:rFonts w:ascii="Verdana" w:eastAsia="Verdana" w:hAnsi="Verdana" w:cs="Verdana"/>
                <w:sz w:val="18"/>
              </w:rPr>
              <w:t xml:space="preserve"> SERAP,Araştırmacı:</w:t>
            </w: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1040" w:type="dxa"/>
            <w:gridSpan w:val="7"/>
            <w:tcMar>
              <w:top w:w="0" w:type="dxa"/>
              <w:left w:w="0" w:type="dxa"/>
              <w:bottom w:w="0" w:type="dxa"/>
              <w:right w:w="0" w:type="dxa"/>
            </w:tcMar>
            <w:vAlign w:val="center"/>
          </w:tcPr>
          <w:p w:rsidR="007C3995" w:rsidRDefault="006E65C1">
            <w:pPr>
              <w:jc w:val="center"/>
            </w:pPr>
            <w:r>
              <w:rPr>
                <w:rFonts w:ascii="Verdana" w:eastAsia="Verdana" w:hAnsi="Verdana" w:cs="Verdana"/>
                <w:sz w:val="18"/>
              </w:rPr>
              <w:t>2.</w:t>
            </w:r>
          </w:p>
        </w:tc>
        <w:tc>
          <w:tcPr>
            <w:tcW w:w="9160" w:type="dxa"/>
            <w:gridSpan w:val="24"/>
            <w:vMerge/>
            <w:tcMar>
              <w:top w:w="0" w:type="dxa"/>
              <w:left w:w="0" w:type="dxa"/>
              <w:bottom w:w="0" w:type="dxa"/>
              <w:right w:w="0" w:type="dxa"/>
            </w:tcMar>
            <w:vAlign w:val="center"/>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1300" w:type="dxa"/>
          </w:tcPr>
          <w:p w:rsidR="007C3995" w:rsidRDefault="007C3995">
            <w:pPr>
              <w:pStyle w:val="EMPTYCELLSTYLE"/>
            </w:pPr>
          </w:p>
        </w:tc>
        <w:tc>
          <w:tcPr>
            <w:tcW w:w="120" w:type="dxa"/>
            <w:gridSpan w:val="3"/>
          </w:tcPr>
          <w:p w:rsidR="007C3995" w:rsidRDefault="007C3995">
            <w:pPr>
              <w:pStyle w:val="EMPTYCELLSTYLE"/>
            </w:pPr>
          </w:p>
        </w:tc>
        <w:tc>
          <w:tcPr>
            <w:tcW w:w="100" w:type="dxa"/>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3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20" w:type="dxa"/>
          </w:tcPr>
          <w:p w:rsidR="007C3995" w:rsidRDefault="007C3995">
            <w:pPr>
              <w:pStyle w:val="EMPTYCELLSTYLE"/>
            </w:pPr>
          </w:p>
        </w:tc>
        <w:tc>
          <w:tcPr>
            <w:tcW w:w="40" w:type="dxa"/>
          </w:tcPr>
          <w:p w:rsidR="007C3995" w:rsidRDefault="007C3995">
            <w:pPr>
              <w:pStyle w:val="EMPTYCELLSTYLE"/>
            </w:pPr>
          </w:p>
        </w:tc>
        <w:tc>
          <w:tcPr>
            <w:tcW w:w="60" w:type="dxa"/>
          </w:tcPr>
          <w:p w:rsidR="007C3995" w:rsidRDefault="007C3995">
            <w:pPr>
              <w:pStyle w:val="EMPTYCELLSTYLE"/>
            </w:pPr>
          </w:p>
        </w:tc>
        <w:tc>
          <w:tcPr>
            <w:tcW w:w="480" w:type="dxa"/>
          </w:tcPr>
          <w:p w:rsidR="007C3995" w:rsidRDefault="007C3995">
            <w:pPr>
              <w:pStyle w:val="EMPTYCELLSTYLE"/>
            </w:pPr>
          </w:p>
        </w:tc>
        <w:tc>
          <w:tcPr>
            <w:tcW w:w="440" w:type="dxa"/>
            <w:gridSpan w:val="3"/>
          </w:tcPr>
          <w:p w:rsidR="007C3995" w:rsidRDefault="007C3995">
            <w:pPr>
              <w:pStyle w:val="EMPTYCELLSTYLE"/>
            </w:pPr>
          </w:p>
        </w:tc>
        <w:tc>
          <w:tcPr>
            <w:tcW w:w="1080" w:type="dxa"/>
            <w:gridSpan w:val="3"/>
          </w:tcPr>
          <w:p w:rsidR="007C3995" w:rsidRDefault="007C3995">
            <w:pPr>
              <w:pStyle w:val="EMPTYCELLSTYLE"/>
            </w:pPr>
          </w:p>
        </w:tc>
        <w:tc>
          <w:tcPr>
            <w:tcW w:w="140" w:type="dxa"/>
          </w:tcPr>
          <w:p w:rsidR="007C3995" w:rsidRDefault="007C3995">
            <w:pPr>
              <w:pStyle w:val="EMPTYCELLSTYLE"/>
            </w:pPr>
          </w:p>
        </w:tc>
        <w:tc>
          <w:tcPr>
            <w:tcW w:w="60" w:type="dxa"/>
          </w:tcPr>
          <w:p w:rsidR="007C3995" w:rsidRDefault="007C3995">
            <w:pPr>
              <w:pStyle w:val="EMPTYCELLSTYLE"/>
            </w:pPr>
          </w:p>
        </w:tc>
        <w:tc>
          <w:tcPr>
            <w:tcW w:w="20" w:type="dxa"/>
          </w:tcPr>
          <w:p w:rsidR="007C3995" w:rsidRDefault="007C3995">
            <w:pPr>
              <w:pStyle w:val="EMPTYCELLSTYLE"/>
            </w:pPr>
          </w:p>
        </w:tc>
        <w:tc>
          <w:tcPr>
            <w:tcW w:w="840" w:type="dxa"/>
            <w:gridSpan w:val="2"/>
          </w:tcPr>
          <w:p w:rsidR="007C3995" w:rsidRDefault="007C3995">
            <w:pPr>
              <w:pStyle w:val="EMPTYCELLSTYLE"/>
            </w:pPr>
          </w:p>
        </w:tc>
        <w:tc>
          <w:tcPr>
            <w:tcW w:w="1000" w:type="dxa"/>
            <w:gridSpan w:val="4"/>
          </w:tcPr>
          <w:p w:rsidR="007C3995" w:rsidRDefault="007C3995">
            <w:pPr>
              <w:pStyle w:val="EMPTYCELLSTYLE"/>
            </w:pPr>
          </w:p>
        </w:tc>
        <w:tc>
          <w:tcPr>
            <w:tcW w:w="160" w:type="dxa"/>
          </w:tcPr>
          <w:p w:rsidR="007C3995" w:rsidRDefault="007C3995">
            <w:pPr>
              <w:pStyle w:val="EMPTYCELLSTYLE"/>
            </w:pPr>
          </w:p>
        </w:tc>
        <w:tc>
          <w:tcPr>
            <w:tcW w:w="80" w:type="dxa"/>
          </w:tcPr>
          <w:p w:rsidR="007C3995" w:rsidRDefault="007C3995">
            <w:pPr>
              <w:pStyle w:val="EMPTYCELLSTYLE"/>
            </w:pPr>
          </w:p>
        </w:tc>
        <w:tc>
          <w:tcPr>
            <w:tcW w:w="80" w:type="dxa"/>
          </w:tcPr>
          <w:p w:rsidR="007C3995" w:rsidRDefault="007C3995">
            <w:pPr>
              <w:pStyle w:val="EMPTYCELLSTYLE"/>
            </w:pPr>
          </w:p>
        </w:tc>
        <w:tc>
          <w:tcPr>
            <w:tcW w:w="340" w:type="dxa"/>
          </w:tcPr>
          <w:p w:rsidR="007C3995" w:rsidRDefault="007C3995">
            <w:pPr>
              <w:pStyle w:val="EMPTYCELLSTYLE"/>
            </w:pPr>
          </w:p>
        </w:tc>
        <w:tc>
          <w:tcPr>
            <w:tcW w:w="320" w:type="dxa"/>
          </w:tcPr>
          <w:p w:rsidR="007C3995" w:rsidRDefault="007C3995">
            <w:pPr>
              <w:pStyle w:val="EMPTYCELLSTYLE"/>
            </w:pPr>
          </w:p>
        </w:tc>
        <w:tc>
          <w:tcPr>
            <w:tcW w:w="2640" w:type="dxa"/>
          </w:tcPr>
          <w:p w:rsidR="007C3995" w:rsidRDefault="007C3995">
            <w:pPr>
              <w:pStyle w:val="EMPTYCELLSTYLE"/>
            </w:pPr>
          </w:p>
        </w:tc>
        <w:tc>
          <w:tcPr>
            <w:tcW w:w="880" w:type="dxa"/>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1</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160" w:type="dxa"/>
            <w:gridSpan w:val="24"/>
            <w:tcMar>
              <w:top w:w="0" w:type="dxa"/>
              <w:left w:w="0" w:type="dxa"/>
              <w:bottom w:w="0" w:type="dxa"/>
              <w:right w:w="0" w:type="dxa"/>
            </w:tcMar>
            <w:vAlign w:val="center"/>
          </w:tcPr>
          <w:p w:rsidR="007C3995" w:rsidRDefault="006E65C1">
            <w:pPr>
              <w:jc w:val="both"/>
            </w:pPr>
            <w:r>
              <w:rPr>
                <w:rFonts w:ascii="Verdana" w:eastAsia="Verdana" w:hAnsi="Verdana" w:cs="Verdana"/>
                <w:sz w:val="18"/>
              </w:rPr>
              <w:t xml:space="preserve">BİLLUR DENİZ, , 11/09/2015 - 17/03/2017 (ULUSAL) </w:t>
            </w: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4000" w:type="dxa"/>
            <w:gridSpan w:val="19"/>
            <w:tcMar>
              <w:top w:w="0" w:type="dxa"/>
              <w:left w:w="0" w:type="dxa"/>
              <w:bottom w:w="0" w:type="dxa"/>
              <w:right w:w="0" w:type="dxa"/>
            </w:tcMar>
          </w:tcPr>
          <w:p w:rsidR="007C3995" w:rsidRDefault="006E65C1">
            <w:r>
              <w:rPr>
                <w:rFonts w:ascii="Verdana" w:eastAsia="Verdana" w:hAnsi="Verdana" w:cs="Verdana"/>
                <w:b/>
                <w:color w:val="666666"/>
                <w:sz w:val="22"/>
              </w:rPr>
              <w:t>Ödüller</w:t>
            </w: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1.</w:t>
            </w:r>
          </w:p>
        </w:tc>
        <w:tc>
          <w:tcPr>
            <w:tcW w:w="8980" w:type="dxa"/>
            <w:gridSpan w:val="22"/>
            <w:tcMar>
              <w:top w:w="0" w:type="dxa"/>
              <w:left w:w="0" w:type="dxa"/>
              <w:bottom w:w="0" w:type="dxa"/>
              <w:right w:w="0" w:type="dxa"/>
            </w:tcMar>
          </w:tcPr>
          <w:p w:rsidR="007C3995" w:rsidRDefault="006E65C1">
            <w:pPr>
              <w:jc w:val="both"/>
            </w:pPr>
            <w:r>
              <w:rPr>
                <w:rFonts w:ascii="Verdana" w:eastAsia="Verdana" w:hAnsi="Verdana" w:cs="Verdana"/>
                <w:sz w:val="18"/>
              </w:rPr>
              <w:t>En iyi sözel bildir, Türk Radyasyon Onkoloji derneği, 2018</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2.</w:t>
            </w:r>
          </w:p>
        </w:tc>
        <w:tc>
          <w:tcPr>
            <w:tcW w:w="8980" w:type="dxa"/>
            <w:gridSpan w:val="22"/>
            <w:vMerge w:val="restart"/>
            <w:tcMar>
              <w:top w:w="0" w:type="dxa"/>
              <w:left w:w="0" w:type="dxa"/>
              <w:bottom w:w="0" w:type="dxa"/>
              <w:right w:w="0" w:type="dxa"/>
            </w:tcMar>
          </w:tcPr>
          <w:p w:rsidR="007C3995" w:rsidRDefault="006E65C1">
            <w:pPr>
              <w:jc w:val="both"/>
            </w:pPr>
            <w:r>
              <w:rPr>
                <w:rFonts w:ascii="Verdana" w:eastAsia="Verdana" w:hAnsi="Verdana" w:cs="Verdana"/>
                <w:sz w:val="18"/>
              </w:rPr>
              <w:t>International mentorship award, International Assoc Society of Lung Cancer, AMERİKA BİRLEŞİK DEVLETLERİ, 2018</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8980" w:type="dxa"/>
            <w:gridSpan w:val="22"/>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3.</w:t>
            </w:r>
          </w:p>
        </w:tc>
        <w:tc>
          <w:tcPr>
            <w:tcW w:w="8980" w:type="dxa"/>
            <w:gridSpan w:val="22"/>
            <w:tcMar>
              <w:top w:w="0" w:type="dxa"/>
              <w:left w:w="0" w:type="dxa"/>
              <w:bottom w:w="0" w:type="dxa"/>
              <w:right w:w="0" w:type="dxa"/>
            </w:tcMar>
          </w:tcPr>
          <w:p w:rsidR="007C3995" w:rsidRDefault="006E65C1">
            <w:pPr>
              <w:jc w:val="both"/>
            </w:pPr>
            <w:r>
              <w:rPr>
                <w:rFonts w:ascii="Verdana" w:eastAsia="Verdana" w:hAnsi="Verdana" w:cs="Verdana"/>
                <w:sz w:val="18"/>
              </w:rPr>
              <w:t>Türk Onkoloji Grubu proje 1. lik ödülü, Türk Onkoloji Grubu, 2017</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4.</w:t>
            </w:r>
          </w:p>
        </w:tc>
        <w:tc>
          <w:tcPr>
            <w:tcW w:w="8980" w:type="dxa"/>
            <w:gridSpan w:val="22"/>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Yaşlı evre 3 küçük hücre dışı akciğer kanserlerinde </w:t>
            </w:r>
            <w:proofErr w:type="gramStart"/>
            <w:r>
              <w:rPr>
                <w:rFonts w:ascii="Verdana" w:eastAsia="Verdana" w:hAnsi="Verdana" w:cs="Verdana"/>
                <w:sz w:val="18"/>
              </w:rPr>
              <w:t>radyoterapi</w:t>
            </w:r>
            <w:proofErr w:type="gramEnd"/>
            <w:r>
              <w:rPr>
                <w:rFonts w:ascii="Verdana" w:eastAsia="Verdana" w:hAnsi="Verdana" w:cs="Verdana"/>
                <w:sz w:val="18"/>
              </w:rPr>
              <w:t xml:space="preserve"> ve kemoterapi sonuçları: TROD torassik onkoloji grubu, TAKD akciğer kanser derneği, 2016</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8980" w:type="dxa"/>
            <w:gridSpan w:val="22"/>
            <w:vMerge/>
            <w:tcMar>
              <w:top w:w="0" w:type="dxa"/>
              <w:left w:w="0" w:type="dxa"/>
              <w:bottom w:w="0" w:type="dxa"/>
              <w:right w:w="0" w:type="dxa"/>
            </w:tcMar>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5.</w:t>
            </w:r>
          </w:p>
        </w:tc>
        <w:tc>
          <w:tcPr>
            <w:tcW w:w="8980" w:type="dxa"/>
            <w:gridSpan w:val="22"/>
            <w:tcMar>
              <w:top w:w="0" w:type="dxa"/>
              <w:left w:w="0" w:type="dxa"/>
              <w:bottom w:w="0" w:type="dxa"/>
              <w:right w:w="0" w:type="dxa"/>
            </w:tcMar>
          </w:tcPr>
          <w:p w:rsidR="007C3995" w:rsidRDefault="006E65C1">
            <w:pPr>
              <w:jc w:val="both"/>
            </w:pPr>
            <w:r>
              <w:rPr>
                <w:rFonts w:ascii="Verdana" w:eastAsia="Verdana" w:hAnsi="Verdana" w:cs="Verdana"/>
                <w:sz w:val="18"/>
              </w:rPr>
              <w:t>1. Nijad Bilge en iyi sözlü sunum ödülü, Radyasyon Onkolojisi Derneği, 2000</w:t>
            </w: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2000" w:type="dxa"/>
            <w:gridSpan w:val="10"/>
            <w:tcMar>
              <w:top w:w="0" w:type="dxa"/>
              <w:left w:w="0" w:type="dxa"/>
              <w:bottom w:w="0" w:type="dxa"/>
              <w:right w:w="0" w:type="dxa"/>
            </w:tcMar>
          </w:tcPr>
          <w:p w:rsidR="007C3995" w:rsidRDefault="006E65C1">
            <w:r>
              <w:rPr>
                <w:rFonts w:ascii="Verdana" w:eastAsia="Verdana" w:hAnsi="Verdana" w:cs="Verdana"/>
                <w:b/>
                <w:color w:val="666666"/>
                <w:sz w:val="24"/>
              </w:rPr>
              <w:t>Eserler</w:t>
            </w: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Uluslararası hakemli dergilerde yayımlanan makaleler:</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w:t>
            </w:r>
            <w:proofErr w:type="gramStart"/>
            <w:r>
              <w:rPr>
                <w:rFonts w:ascii="Verdana" w:eastAsia="Verdana" w:hAnsi="Verdana" w:cs="Verdana"/>
                <w:sz w:val="18"/>
              </w:rPr>
              <w:t>SERAP,KOCAGÖZ</w:t>
            </w:r>
            <w:proofErr w:type="gramEnd"/>
            <w:r>
              <w:rPr>
                <w:rFonts w:ascii="Verdana" w:eastAsia="Verdana" w:hAnsi="Verdana" w:cs="Verdana"/>
                <w:sz w:val="18"/>
              </w:rPr>
              <w:t xml:space="preserve"> ZÜHTÜ TANIL (2019).  Oligomer based real-time detection of microorganisms producing nuclease enzymes.  ANALYST (Yayın No: 4856639)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ÖZYAR </w:t>
            </w:r>
            <w:proofErr w:type="gramStart"/>
            <w:r>
              <w:rPr>
                <w:rFonts w:ascii="Verdana" w:eastAsia="Verdana" w:hAnsi="Verdana" w:cs="Verdana"/>
                <w:sz w:val="18"/>
              </w:rPr>
              <w:t>ENİS,ALANYALI</w:t>
            </w:r>
            <w:proofErr w:type="gramEnd"/>
            <w:r>
              <w:rPr>
                <w:rFonts w:ascii="Verdana" w:eastAsia="Verdana" w:hAnsi="Verdana" w:cs="Verdana"/>
                <w:sz w:val="18"/>
              </w:rPr>
              <w:t xml:space="preserve"> SENEM,ESASSOLAK MUSTAFA ADNAN,DEMİRÖZ CANDOST,AKYÜREK SERAP (2019).  Paraganglioma of the head and neck region, treated with radiotion therapy, a Rare Cancer Network study</w:t>
            </w:r>
            <w:proofErr w:type="gramStart"/>
            <w:r>
              <w:rPr>
                <w:rFonts w:ascii="Verdana" w:eastAsia="Verdana" w:hAnsi="Verdana" w:cs="Verdana"/>
                <w:sz w:val="18"/>
              </w:rPr>
              <w:t>..</w:t>
            </w:r>
            <w:proofErr w:type="gramEnd"/>
            <w:r>
              <w:rPr>
                <w:rFonts w:ascii="Verdana" w:eastAsia="Verdana" w:hAnsi="Verdana" w:cs="Verdana"/>
                <w:sz w:val="18"/>
              </w:rPr>
              <w:t xml:space="preserve">  HEAD AND NECK- JOURNAL FOR THE SCIENCES AND SPECIALTIES OF THE HEAD AND NECK (Yayın No: 4856618)</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CEM,Yıldırım</w:t>
            </w:r>
            <w:proofErr w:type="gramEnd"/>
            <w:r>
              <w:rPr>
                <w:rFonts w:ascii="Verdana" w:eastAsia="Verdana" w:hAnsi="Verdana" w:cs="Verdana"/>
                <w:sz w:val="18"/>
              </w:rPr>
              <w:t xml:space="preserve"> Akkuş Berna,Sarı Yüce Sezin,YAVAŞ GÜLER,GÜLTEKİN MELİS,GÜLER OZAN CEM,YILDIZ FERAH,AKYÜREK SERAP (2019).  Treatment outcomes of endometrial cancer patients with paraaortic lymph node metastasis: a multi- institutional analysis.  INTERNATIONAL JOURNAL OF GYNECOLOGICAL CANCER, 29(1), 94-101</w:t>
            </w:r>
            <w:proofErr w:type="gramStart"/>
            <w:r>
              <w:rPr>
                <w:rFonts w:ascii="Verdana" w:eastAsia="Verdana" w:hAnsi="Verdana" w:cs="Verdana"/>
                <w:sz w:val="18"/>
              </w:rPr>
              <w:t>.,</w:t>
            </w:r>
            <w:proofErr w:type="gramEnd"/>
            <w:r>
              <w:rPr>
                <w:rFonts w:ascii="Verdana" w:eastAsia="Verdana" w:hAnsi="Verdana" w:cs="Verdana"/>
                <w:sz w:val="18"/>
              </w:rPr>
              <w:t xml:space="preserve"> Doi: 10.11367/jgc-2018-000029 (Yayın No: 4856470)</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BANU,AKYÜREK</w:t>
            </w:r>
            <w:proofErr w:type="gramEnd"/>
            <w:r>
              <w:rPr>
                <w:rFonts w:ascii="Verdana" w:eastAsia="Verdana" w:hAnsi="Verdana" w:cs="Verdana"/>
                <w:sz w:val="18"/>
              </w:rPr>
              <w:t xml:space="preserve"> SERAP,KAMER EMİNE SERRA,ANACAK YAVUZ (2018).  Treatment outcome and prognostic factors for adult patients with medulloblastoma: The Rare Cancer Network (RCN) experience.  Radiotherapy and Oncology, 127(1), 96-102</w:t>
            </w:r>
            <w:proofErr w:type="gramStart"/>
            <w:r>
              <w:rPr>
                <w:rFonts w:ascii="Verdana" w:eastAsia="Verdana" w:hAnsi="Verdana" w:cs="Verdana"/>
                <w:sz w:val="18"/>
              </w:rPr>
              <w:t>.,</w:t>
            </w:r>
            <w:proofErr w:type="gramEnd"/>
            <w:r>
              <w:rPr>
                <w:rFonts w:ascii="Verdana" w:eastAsia="Verdana" w:hAnsi="Verdana" w:cs="Verdana"/>
                <w:sz w:val="18"/>
              </w:rPr>
              <w:t xml:space="preserve"> Doi: 10.1016/j.radonc.2017.12.028 (Yayın No: 4697639)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BANU,Özşahin</w:t>
            </w:r>
            <w:proofErr w:type="gramEnd"/>
            <w:r>
              <w:rPr>
                <w:rFonts w:ascii="Verdana" w:eastAsia="Verdana" w:hAnsi="Verdana" w:cs="Verdana"/>
                <w:sz w:val="18"/>
              </w:rPr>
              <w:t xml:space="preserve"> Mahmut,Call Jason,Napieralska Aleksandra,KAMER EMİNE SERRA,Villa Salvador,ERPOLAT ÖZGE PETEK,Negretti Laura,Ramshad Yasmin,ÖNAL HÜSEYİN CEM,AKYÜREK SERAP,Ugurluer Gamze,Baumert Brigiatta,Vernat Stephanie,Miller Robert,ÖZYAR ENİS,Sio Terence (2018).  Treatment outcome and prognostic factors for adult patients with medulloblastoma: The Rare Cancer Network (RCN) experience.  Radiotherapy and Oncology, 127(1), 96-102</w:t>
            </w:r>
            <w:proofErr w:type="gramStart"/>
            <w:r>
              <w:rPr>
                <w:rFonts w:ascii="Verdana" w:eastAsia="Verdana" w:hAnsi="Verdana" w:cs="Verdana"/>
                <w:sz w:val="18"/>
              </w:rPr>
              <w:t>.,</w:t>
            </w:r>
            <w:proofErr w:type="gramEnd"/>
            <w:r>
              <w:rPr>
                <w:rFonts w:ascii="Verdana" w:eastAsia="Verdana" w:hAnsi="Verdana" w:cs="Verdana"/>
                <w:sz w:val="18"/>
              </w:rPr>
              <w:t xml:space="preserve"> Doi: 10.1016/j.radonc.2017.12.028 (Yayın No: 4543303)</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BANU,Ozsahin</w:t>
            </w:r>
            <w:proofErr w:type="gramEnd"/>
            <w:r>
              <w:rPr>
                <w:rFonts w:ascii="Verdana" w:eastAsia="Verdana" w:hAnsi="Verdana" w:cs="Verdana"/>
                <w:sz w:val="18"/>
              </w:rPr>
              <w:t xml:space="preserve"> Mahmut,Call Jason,Napieralska Aleksandra,KAMER EMİNE SERRA,Villa Salvador,ERPOLAT ÖZGE PETEK,Negretti Laura,LassenRamshad Yasmin,ÖNAL HÜSEYİN CEM,AKYÜREK SERAP,UĞURLUER GAMZE,Baumert G Brigitta,ServagiVernat Stephanie,Miller C Robert,Ozyar Enis,Terence T Sio (2018).  Treatment outcome and prognostic factors for adult patients with medulloblatoma: The Rare Cancer Network  (RCN) experience.  RADIOTHERAPY AND ONCOLOGY, 127 (Yayın No: 4778606)</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6.</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w:t>
            </w:r>
            <w:proofErr w:type="gramStart"/>
            <w:r>
              <w:rPr>
                <w:rFonts w:ascii="Verdana" w:eastAsia="Verdana" w:hAnsi="Verdana" w:cs="Verdana"/>
                <w:sz w:val="18"/>
              </w:rPr>
              <w:t>SERAP,KÖSE</w:t>
            </w:r>
            <w:proofErr w:type="gramEnd"/>
            <w:r>
              <w:rPr>
                <w:rFonts w:ascii="Verdana" w:eastAsia="Verdana" w:hAnsi="Verdana" w:cs="Verdana"/>
                <w:sz w:val="18"/>
              </w:rPr>
              <w:t xml:space="preserve"> SERDAL KENAN,GÖKÇE ŞABAN ÇAKIR (2014).  Thyroid dysfunction following supraclavicular iradiation in the management of carcinoma of the breast.  UHOD-Uluslararasi Hematoloji-Onkoloji Dergisi, 24(1), 139-144</w:t>
            </w:r>
            <w:proofErr w:type="gramStart"/>
            <w:r>
              <w:rPr>
                <w:rFonts w:ascii="Verdana" w:eastAsia="Verdana" w:hAnsi="Verdana" w:cs="Verdana"/>
                <w:sz w:val="18"/>
              </w:rPr>
              <w:t>.,</w:t>
            </w:r>
            <w:proofErr w:type="gramEnd"/>
            <w:r>
              <w:rPr>
                <w:rFonts w:ascii="Verdana" w:eastAsia="Verdana" w:hAnsi="Verdana" w:cs="Verdana"/>
                <w:sz w:val="18"/>
              </w:rPr>
              <w:t xml:space="preserve"> Doi: 10.4999 (Yayın No: 1371820)</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7.</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NALÇA ANDRİEU </w:t>
            </w:r>
            <w:proofErr w:type="gramStart"/>
            <w:r>
              <w:rPr>
                <w:rFonts w:ascii="Verdana" w:eastAsia="Verdana" w:hAnsi="Verdana" w:cs="Verdana"/>
                <w:sz w:val="18"/>
              </w:rPr>
              <w:t>MELTEM,HİÇSÖNMEZ</w:t>
            </w:r>
            <w:proofErr w:type="gramEnd"/>
            <w:r>
              <w:rPr>
                <w:rFonts w:ascii="Verdana" w:eastAsia="Verdana" w:hAnsi="Verdana" w:cs="Verdana"/>
                <w:sz w:val="18"/>
              </w:rPr>
              <w:t xml:space="preserve"> AYŞE,AKYÜREK SERAP,GÖKÇE ŞABAN ÇAKIR (2014).  Comparison of 2 dimensional and 3 dimensional conformal treatment plans in gastric cancer radiotherapy.  Asian Pac Cancer Prev, 15(17), 7401-7405. (Yayın No: 1371845)</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8.</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HİÇSÖNMEZ </w:t>
            </w:r>
            <w:proofErr w:type="gramStart"/>
            <w:r>
              <w:rPr>
                <w:rFonts w:ascii="Verdana" w:eastAsia="Verdana" w:hAnsi="Verdana" w:cs="Verdana"/>
                <w:sz w:val="18"/>
              </w:rPr>
              <w:t>AYŞE,NALÇA</w:t>
            </w:r>
            <w:proofErr w:type="gramEnd"/>
            <w:r>
              <w:rPr>
                <w:rFonts w:ascii="Verdana" w:eastAsia="Verdana" w:hAnsi="Verdana" w:cs="Verdana"/>
                <w:sz w:val="18"/>
              </w:rPr>
              <w:t xml:space="preserve"> ANDRİEU MELTEM,GÖKÇE ŞABAN ÇAKIR,AKYÜREK SERAP (2014).  Evaluation of the radiaiton pneumonia development risk in lung cancer.  Asian Pac J Cancer, 15(17), 7371-7375. (Yayın No: 1371853)</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9.</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(2013).  Role of postmastectomy radiation therapy after neoadjuvant chemotherapy in locally advanced breast cancer.  Exp Oncol, 35(4), 267-71. (Yayın No: 766475)</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10.</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YAVAŞ </w:t>
            </w:r>
            <w:proofErr w:type="gramStart"/>
            <w:r>
              <w:rPr>
                <w:rFonts w:ascii="Verdana" w:eastAsia="Verdana" w:hAnsi="Verdana" w:cs="Verdana"/>
                <w:sz w:val="18"/>
              </w:rPr>
              <w:t>ÇAĞDAŞ,Yavaş</w:t>
            </w:r>
            <w:proofErr w:type="gramEnd"/>
            <w:r>
              <w:rPr>
                <w:rFonts w:ascii="Verdana" w:eastAsia="Verdana" w:hAnsi="Verdana" w:cs="Verdana"/>
                <w:sz w:val="18"/>
              </w:rPr>
              <w:t xml:space="preserve"> Guler,ACAR DEMİR HİLAL,TOY HATİCE,YÜCE DENİZ,AKYÜREK SERAP,ATA ÖZLEM (2013).  Amelioration of radiation induced acute inflammation and mucosal atrophy by beta hydroxy beta </w:t>
            </w:r>
            <w:proofErr w:type="gramStart"/>
            <w:r>
              <w:rPr>
                <w:rFonts w:ascii="Verdana" w:eastAsia="Verdana" w:hAnsi="Verdana" w:cs="Verdana"/>
                <w:sz w:val="18"/>
              </w:rPr>
              <w:t>methylbutyrate  L</w:t>
            </w:r>
            <w:proofErr w:type="gramEnd"/>
            <w:r>
              <w:rPr>
                <w:rFonts w:ascii="Verdana" w:eastAsia="Verdana" w:hAnsi="Verdana" w:cs="Verdana"/>
                <w:sz w:val="18"/>
              </w:rPr>
              <w:t xml:space="preserve"> glutamıne  and L argınıne  results of an experimental study.  Support Care Cancer, 21(3), 883-888. (Yayın No: 766759)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11.</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BANU,Miller</w:t>
            </w:r>
            <w:proofErr w:type="gramEnd"/>
            <w:r>
              <w:rPr>
                <w:rFonts w:ascii="Verdana" w:eastAsia="Verdana" w:hAnsi="Verdana" w:cs="Verdana"/>
                <w:sz w:val="18"/>
              </w:rPr>
              <w:t xml:space="preserve"> Robert,Dincbaş Fazilet Oner,Geismar Jan Henning,Micke Oliver,AKYÜREK SERAP,ÖZYAR ENİS (2010).  Adult langerhans cell histiocytosis of </w:t>
            </w:r>
            <w:proofErr w:type="gramStart"/>
            <w:r>
              <w:rPr>
                <w:rFonts w:ascii="Verdana" w:eastAsia="Verdana" w:hAnsi="Verdana" w:cs="Verdana"/>
                <w:sz w:val="18"/>
              </w:rPr>
              <w:t>bones  a</w:t>
            </w:r>
            <w:proofErr w:type="gramEnd"/>
            <w:r>
              <w:rPr>
                <w:rFonts w:ascii="Verdana" w:eastAsia="Verdana" w:hAnsi="Verdana" w:cs="Verdana"/>
                <w:sz w:val="18"/>
              </w:rPr>
              <w:t xml:space="preserve"> rare cancer network study.  Acta Orthop Belg (Yayın No: 768874)</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12.</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(2008).  The effect of tianeptine in the prevention of radiation induced neurocognitive impairment.  Med Hypotheses(71), 930 (Yayın No: 765099)</w:t>
            </w: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13.</w:t>
            </w: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1320" w:type="dxa"/>
            <w:gridSpan w:val="2"/>
          </w:tcPr>
          <w:p w:rsidR="007C3995" w:rsidRDefault="007C3995">
            <w:pPr>
              <w:pStyle w:val="EMPTYCELLSTYLE"/>
            </w:pPr>
          </w:p>
        </w:tc>
        <w:tc>
          <w:tcPr>
            <w:tcW w:w="20" w:type="dxa"/>
          </w:tcPr>
          <w:p w:rsidR="007C3995" w:rsidRDefault="007C3995">
            <w:pPr>
              <w:pStyle w:val="EMPTYCELLSTYLE"/>
            </w:pPr>
          </w:p>
        </w:tc>
        <w:tc>
          <w:tcPr>
            <w:tcW w:w="180" w:type="dxa"/>
            <w:gridSpan w:val="2"/>
          </w:tcPr>
          <w:p w:rsidR="007C3995" w:rsidRDefault="007C3995">
            <w:pPr>
              <w:pStyle w:val="EMPTYCELLSTYLE"/>
            </w:pPr>
          </w:p>
        </w:tc>
        <w:tc>
          <w:tcPr>
            <w:tcW w:w="80" w:type="dxa"/>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0" w:type="dxa"/>
          </w:tcPr>
          <w:p w:rsidR="007C3995" w:rsidRDefault="007C3995">
            <w:pPr>
              <w:pStyle w:val="EMPTYCELLSTYLE"/>
            </w:pPr>
          </w:p>
        </w:tc>
        <w:tc>
          <w:tcPr>
            <w:tcW w:w="940" w:type="dxa"/>
            <w:gridSpan w:val="2"/>
          </w:tcPr>
          <w:p w:rsidR="007C3995" w:rsidRDefault="007C3995">
            <w:pPr>
              <w:pStyle w:val="EMPTYCELLSTYLE"/>
            </w:pPr>
          </w:p>
        </w:tc>
        <w:tc>
          <w:tcPr>
            <w:tcW w:w="2000" w:type="dxa"/>
            <w:gridSpan w:val="9"/>
          </w:tcPr>
          <w:p w:rsidR="007C3995" w:rsidRDefault="007C3995">
            <w:pPr>
              <w:pStyle w:val="EMPTYCELLSTYLE"/>
            </w:pPr>
          </w:p>
        </w:tc>
        <w:tc>
          <w:tcPr>
            <w:tcW w:w="4700" w:type="dxa"/>
            <w:gridSpan w:val="8"/>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2</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Uluslararası hakemli dergilerde yayımlanan makaleler:</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(2008).  MRI of non neoplastic cranial complications of malignant disorders.  Diagn Interv Radiol(14), 61 (Yayın No: 765131)</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Chang </w:t>
            </w:r>
            <w:proofErr w:type="gramStart"/>
            <w:r>
              <w:rPr>
                <w:rFonts w:ascii="Verdana" w:eastAsia="Verdana" w:hAnsi="Verdana" w:cs="Verdana"/>
                <w:sz w:val="18"/>
              </w:rPr>
              <w:t>Eric,AKYÜREK</w:t>
            </w:r>
            <w:proofErr w:type="gramEnd"/>
            <w:r>
              <w:rPr>
                <w:rFonts w:ascii="Verdana" w:eastAsia="Verdana" w:hAnsi="Verdana" w:cs="Verdana"/>
                <w:sz w:val="18"/>
              </w:rPr>
              <w:t xml:space="preserve"> SERAP,Avalos Tedde,Rebueno Neal,Spicer Chris,Garcia John,Famiaglietti Robin,Allen Pamela,Chao Clifford,Mahajan Anita,Woo Shiao,Maor Moshe (2007).  Evaluation of peritumoral edema in the delineation of radiotherapy clinical target volumes for glioblastoma.  Int J Radiat Onol Biol Phys, 68(1), 144-150. (Yayın No: 765167)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Angiotensin 1 7 and risk for breast cancer recurrence.  Cancer Chemother Pharmacol (Yayın No: 768547)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Tobacco smoking and breast cancer.  Breast J (Yayın No: 768324)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Overcoming trastuzumab resıstance with nordihydroguaiaretic acid.  Breast Cancer Res Treat (Yayın No: 768452)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The effect of erythropoietin in the prevention of radiation induced spinal cord damage.  Med Hypotheses, 68(1), 238-239. (Yayın No: 768186)</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Altundag Kadri, Altundag Ozden, Akyurek Serap, Karakaya Ebru, Turen Selahattin (2006).  Inactivation of E cadherin and less sensitivity of lobular breast carcinoma cells to chemotherapy.  The Breast, 15(3), 300, Doi: 10.1016/j.breast.2005.10.007 (Yayın No: 764879)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Possible association between nanobacteria and malignant microcalcifications in breast cance.  Breast J (Yayın No: 768259)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Effect of ticlopidine in the prevention of radiation enteropathy.  Br J Radiol(79), 409 (Yayın No: 765493)</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SERAP (2006).  Radiotherapy in the management of Kaposi s </w:t>
            </w:r>
            <w:proofErr w:type="gramStart"/>
            <w:r>
              <w:rPr>
                <w:rFonts w:ascii="Verdana" w:eastAsia="Verdana" w:hAnsi="Verdana" w:cs="Verdana"/>
                <w:sz w:val="18"/>
              </w:rPr>
              <w:t>sarcoma  comparison</w:t>
            </w:r>
            <w:proofErr w:type="gramEnd"/>
            <w:r>
              <w:rPr>
                <w:rFonts w:ascii="Verdana" w:eastAsia="Verdana" w:hAnsi="Verdana" w:cs="Verdana"/>
                <w:sz w:val="18"/>
              </w:rPr>
              <w:t xml:space="preserve"> of 8 Gy versus 6 Gy.  J Natl Med Assoc(98), 1136 (Yayın No: 765050)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w:t>
            </w:r>
            <w:proofErr w:type="gramStart"/>
            <w:r>
              <w:rPr>
                <w:rFonts w:ascii="Verdana" w:eastAsia="Verdana" w:hAnsi="Verdana" w:cs="Verdana"/>
                <w:sz w:val="18"/>
              </w:rPr>
              <w:t>SERAP,Chang</w:t>
            </w:r>
            <w:proofErr w:type="gramEnd"/>
            <w:r>
              <w:rPr>
                <w:rFonts w:ascii="Verdana" w:eastAsia="Verdana" w:hAnsi="Verdana" w:cs="Verdana"/>
                <w:sz w:val="18"/>
              </w:rPr>
              <w:t xml:space="preserve"> Eric,Yu TseKuan,Little Darrin,Allen Pamela,McCutcheon Ian,Mahajan Anita,Maor Moshe,Woo Shiao (2006).  Spinal myxopapillary ependymoma outcomes in patients treated with surgery and radiotherapy at M </w:t>
            </w:r>
            <w:proofErr w:type="gramStart"/>
            <w:r>
              <w:rPr>
                <w:rFonts w:ascii="Verdana" w:eastAsia="Verdana" w:hAnsi="Verdana" w:cs="Verdana"/>
                <w:sz w:val="18"/>
              </w:rPr>
              <w:t>D  Anderson</w:t>
            </w:r>
            <w:proofErr w:type="gramEnd"/>
            <w:r>
              <w:rPr>
                <w:rFonts w:ascii="Verdana" w:eastAsia="Verdana" w:hAnsi="Verdana" w:cs="Verdana"/>
                <w:sz w:val="18"/>
              </w:rPr>
              <w:t xml:space="preserve"> Cancer Center.  J Neurooncol(80), 177 (Yayın No: 765310)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(2006).  Mid course thoracic radiotherapy with cisplatin etoposide chemotherapy in limited stage small cell lung cancer.  Medical Oncology(23), 499 (Yayın No: 765443)</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(2005).  Heparanase activity and bone loss in postmenopausal breast cancer patients.  J Clin Oncol (Yayın No: 768686)</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(2005).  Electrocardiographic evidence of heart metastasis from a primary lung cancer.  Saudi Med J(26), 1139 (Yayın No: 765528)</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w:t>
            </w:r>
            <w:proofErr w:type="gramStart"/>
            <w:r>
              <w:rPr>
                <w:rFonts w:ascii="Verdana" w:eastAsia="Verdana" w:hAnsi="Verdana" w:cs="Verdana"/>
                <w:sz w:val="18"/>
              </w:rPr>
              <w:t>SERAP,YILDIZ</w:t>
            </w:r>
            <w:proofErr w:type="gramEnd"/>
            <w:r>
              <w:rPr>
                <w:rFonts w:ascii="Verdana" w:eastAsia="Verdana" w:hAnsi="Verdana" w:cs="Verdana"/>
                <w:sz w:val="18"/>
              </w:rPr>
              <w:t xml:space="preserve"> FERAH,CENGİZ MUSTAFA,ÖNAL HÜSEYİN CEM,Yıldız Oguzhan,GENÇ MİNE,Atahan Lale (2005).  Importance of timing of antiaggregant treatment in the prevention of radiation induced enteropathy.  Med Hypotheses(65), 736 (Yayın No: 765579)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(2004).  Skeletal muscle metastasis from malignant pleural mesothelioma.  Clin Oncol(16), 585 (Yayın No: 765635)</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GÜRKAYNAK HÜSNÜ </w:t>
            </w:r>
            <w:proofErr w:type="gramStart"/>
            <w:r>
              <w:rPr>
                <w:rFonts w:ascii="Verdana" w:eastAsia="Verdana" w:hAnsi="Verdana" w:cs="Verdana"/>
                <w:sz w:val="18"/>
              </w:rPr>
              <w:t>MURAT,CENGİZ</w:t>
            </w:r>
            <w:proofErr w:type="gramEnd"/>
            <w:r>
              <w:rPr>
                <w:rFonts w:ascii="Verdana" w:eastAsia="Verdana" w:hAnsi="Verdana" w:cs="Verdana"/>
                <w:sz w:val="18"/>
              </w:rPr>
              <w:t xml:space="preserve"> MUSTAFA,AKYÜREK SERAP,ÖZYAR ENİS,Atahan Lale,Tekuzman Gülten (2003).  Waldeyer s ring </w:t>
            </w:r>
            <w:proofErr w:type="gramStart"/>
            <w:r>
              <w:rPr>
                <w:rFonts w:ascii="Verdana" w:eastAsia="Verdana" w:hAnsi="Verdana" w:cs="Verdana"/>
                <w:sz w:val="18"/>
              </w:rPr>
              <w:t>lymphomas  treatment</w:t>
            </w:r>
            <w:proofErr w:type="gramEnd"/>
            <w:r>
              <w:rPr>
                <w:rFonts w:ascii="Verdana" w:eastAsia="Verdana" w:hAnsi="Verdana" w:cs="Verdana"/>
                <w:sz w:val="18"/>
              </w:rPr>
              <w:t xml:space="preserve"> results and prognostic factors.  Am J Clin Oncol, 26(5), 437-440. (Yayın No: 765671)</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GÜRKAYNAK HÜSNÜ </w:t>
            </w:r>
            <w:proofErr w:type="gramStart"/>
            <w:r>
              <w:rPr>
                <w:rFonts w:ascii="Verdana" w:eastAsia="Verdana" w:hAnsi="Verdana" w:cs="Verdana"/>
                <w:sz w:val="18"/>
              </w:rPr>
              <w:t>MURAT,CENGİZ</w:t>
            </w:r>
            <w:proofErr w:type="gramEnd"/>
            <w:r>
              <w:rPr>
                <w:rFonts w:ascii="Verdana" w:eastAsia="Verdana" w:hAnsi="Verdana" w:cs="Verdana"/>
                <w:sz w:val="18"/>
              </w:rPr>
              <w:t xml:space="preserve"> MUSTAFA,AKYÜREK SERAP,ÖZYAR ENİS,Atahan I Lale,Tekuzman Gülten (2003).  Waldeyer’xxs Ring Lymphomas- treatment results and prognostic factors.  American Journal of Clinical Oncology, 26(5), 437-440</w:t>
            </w:r>
            <w:proofErr w:type="gramStart"/>
            <w:r>
              <w:rPr>
                <w:rFonts w:ascii="Verdana" w:eastAsia="Verdana" w:hAnsi="Verdana" w:cs="Verdana"/>
                <w:sz w:val="18"/>
              </w:rPr>
              <w:t>.,</w:t>
            </w:r>
            <w:proofErr w:type="gramEnd"/>
            <w:r>
              <w:rPr>
                <w:rFonts w:ascii="Verdana" w:eastAsia="Verdana" w:hAnsi="Verdana" w:cs="Verdana"/>
                <w:sz w:val="18"/>
              </w:rPr>
              <w:t xml:space="preserve"> Doi: 10.1097/01.coc.0000027588.56104.15 (Yayın No: 4543134)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SERAP (2003).  Stage I testicular </w:t>
            </w:r>
            <w:proofErr w:type="gramStart"/>
            <w:r>
              <w:rPr>
                <w:rFonts w:ascii="Verdana" w:eastAsia="Verdana" w:hAnsi="Verdana" w:cs="Verdana"/>
                <w:sz w:val="18"/>
              </w:rPr>
              <w:t>seminoma  para</w:t>
            </w:r>
            <w:proofErr w:type="gramEnd"/>
            <w:r>
              <w:rPr>
                <w:rFonts w:ascii="Verdana" w:eastAsia="Verdana" w:hAnsi="Verdana" w:cs="Verdana"/>
                <w:sz w:val="18"/>
              </w:rPr>
              <w:t xml:space="preserve"> aortic and iliac irradiation with reduced dose after orchiectomy.  Urol Int(71), 385 (Yayın No: 765814)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(2001).  Acute phase response during radiotherapy.  Int J Radiat Oncol Biol Phys(49), 1093 (Yayın No: 765789)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AKYÜREK SERAP (1998).  Choroid metastasis of undifferentiated nasopharyngeal carcinoma.  J Laryngol Otol(12), 667 (Yayın No: 765208)</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Yildiz </w:t>
            </w:r>
            <w:proofErr w:type="gramStart"/>
            <w:r>
              <w:rPr>
                <w:rFonts w:ascii="Verdana" w:eastAsia="Verdana" w:hAnsi="Verdana" w:cs="Verdana"/>
                <w:sz w:val="18"/>
              </w:rPr>
              <w:t>Ferah , Genc</w:t>
            </w:r>
            <w:proofErr w:type="gramEnd"/>
            <w:r>
              <w:rPr>
                <w:rFonts w:ascii="Verdana" w:eastAsia="Verdana" w:hAnsi="Verdana" w:cs="Verdana"/>
                <w:sz w:val="18"/>
              </w:rPr>
              <w:t xml:space="preserve"> Mine , Akyurek Serap , Cengiz Mustafa , Ozyar Enis , Selek Ugur , Atahan I. Lale (1900).  Radiotherapy in the management of Kaposi s </w:t>
            </w:r>
            <w:proofErr w:type="gramStart"/>
            <w:r>
              <w:rPr>
                <w:rFonts w:ascii="Verdana" w:eastAsia="Verdana" w:hAnsi="Verdana" w:cs="Verdana"/>
                <w:sz w:val="18"/>
              </w:rPr>
              <w:t>sarcoma  Comparison</w:t>
            </w:r>
            <w:proofErr w:type="gramEnd"/>
            <w:r>
              <w:rPr>
                <w:rFonts w:ascii="Verdana" w:eastAsia="Verdana" w:hAnsi="Verdana" w:cs="Verdana"/>
                <w:sz w:val="18"/>
              </w:rPr>
              <w:t xml:space="preserve"> of 8 Gyversus 6 Gy.  JOURNAL OF THE NATIONAL MEDICAL ASSOCIATION, 98(7), 1136-1139. (Yayın No: 764937)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4"/>
              </w:rPr>
              <w:t xml:space="preserve">B. Uluslararası bilimsel toplantılarda sunulan ve bildiri kitaplarında (proceedings) basılan </w:t>
            </w:r>
            <w:proofErr w:type="gramStart"/>
            <w:r>
              <w:rPr>
                <w:rFonts w:ascii="Verdana" w:eastAsia="Verdana" w:hAnsi="Verdana" w:cs="Verdana"/>
                <w:b/>
                <w:color w:val="666666"/>
                <w:sz w:val="24"/>
              </w:rPr>
              <w:t>bildiriler :</w:t>
            </w:r>
            <w:proofErr w:type="gramEnd"/>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Ergen Arzu </w:t>
            </w:r>
            <w:proofErr w:type="gramStart"/>
            <w:r>
              <w:rPr>
                <w:rFonts w:ascii="Verdana" w:eastAsia="Verdana" w:hAnsi="Verdana" w:cs="Verdana"/>
                <w:sz w:val="18"/>
              </w:rPr>
              <w:t>Şefika,DİNÇBAŞ</w:t>
            </w:r>
            <w:proofErr w:type="gramEnd"/>
            <w:r>
              <w:rPr>
                <w:rFonts w:ascii="Verdana" w:eastAsia="Verdana" w:hAnsi="Verdana" w:cs="Verdana"/>
                <w:sz w:val="18"/>
              </w:rPr>
              <w:t xml:space="preserve"> HİDAYET FAZİLET,YÜCEL BİRSEN,AKYÜREK SERAP,ÜLGER ŞÜKRAN,ETİZ DURMUŞ,Korkmaz Esra,yılmaz ufuk,ŞENOCAK MUSTAFA ŞÜKRÜ,Bozcuk Hakan,KILIÇ </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3</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6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tcMar>
              <w:top w:w="0" w:type="dxa"/>
              <w:left w:w="0" w:type="dxa"/>
              <w:bottom w:w="0" w:type="dxa"/>
              <w:right w:w="0" w:type="dxa"/>
            </w:tcMar>
          </w:tcPr>
          <w:p w:rsidR="007C3995" w:rsidRDefault="006E65C1">
            <w:pPr>
              <w:jc w:val="both"/>
            </w:pPr>
            <w:r>
              <w:rPr>
                <w:rFonts w:ascii="Verdana" w:eastAsia="Verdana" w:hAnsi="Verdana" w:cs="Verdana"/>
                <w:sz w:val="18"/>
              </w:rPr>
              <w:t xml:space="preserve">DİCLEHAN (2016).  Risk factors of radiation pneumonitis in the patients with non </w:t>
            </w:r>
            <w:proofErr w:type="gramStart"/>
            <w:r>
              <w:rPr>
                <w:rFonts w:ascii="Verdana" w:eastAsia="Verdana" w:hAnsi="Verdana" w:cs="Verdana"/>
                <w:sz w:val="18"/>
              </w:rPr>
              <w:t>small  cell</w:t>
            </w:r>
            <w:proofErr w:type="gramEnd"/>
            <w:r>
              <w:rPr>
                <w:rFonts w:ascii="Verdana" w:eastAsia="Verdana" w:hAnsi="Verdana" w:cs="Verdana"/>
                <w:sz w:val="18"/>
              </w:rPr>
              <w:t xml:space="preserve"> lung cancer treated by concomitant chemoradiation therapy  TOG TROD Lung Cancer Study Group.  ASTRO (/)(Yayın No:3170170)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Tanyildiz Hikmet </w:t>
            </w:r>
            <w:proofErr w:type="gramStart"/>
            <w:r>
              <w:rPr>
                <w:rFonts w:ascii="Verdana" w:eastAsia="Verdana" w:hAnsi="Verdana" w:cs="Verdana"/>
                <w:sz w:val="18"/>
              </w:rPr>
              <w:t>Gulsah,TAÇYILDIZ</w:t>
            </w:r>
            <w:proofErr w:type="gramEnd"/>
            <w:r>
              <w:rPr>
                <w:rFonts w:ascii="Verdana" w:eastAsia="Verdana" w:hAnsi="Verdana" w:cs="Verdana"/>
                <w:sz w:val="18"/>
              </w:rPr>
              <w:t xml:space="preserve"> NURDAN,DİNÇASLAN HANDAN,ÜNAL EMEL,YAVUZ LEMAN GÜLSAN,SOYGÜR YAKUP TARKAN,ÇAKMAK AHMET MURAT,KANKAYA DUYGU,FİTÖZ SUAT,AKYÜREK SERAP (2018).  Wilms Tumor: A Single CenterExperience.  50. CONGRESS OF SIOP (Özet Bildiri/Poster)(Yayın No:4510722)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BANU,KAYTAN</w:t>
            </w:r>
            <w:proofErr w:type="gramEnd"/>
            <w:r>
              <w:rPr>
                <w:rFonts w:ascii="Verdana" w:eastAsia="Verdana" w:hAnsi="Verdana" w:cs="Verdana"/>
                <w:sz w:val="18"/>
              </w:rPr>
              <w:t xml:space="preserve"> SAĞLAM ESRA,AKGÜN ZÜLEYHA,ABACIOĞLU UFUK,ARİFOĞLU ALPTEKİN,ŞAHİN BİLGEHAN,ÖZYAR ENİS,YAPRAK GÖKHAN,IŞIK NACİYE,ÖZKÖK HALE BAŞAK,KAHRAMAN ŞULE,İĞDEM MEHMET ŞEFİK,SELEK UĞUR,DİNÇBAŞ HİDAYET FAZİLET,ŞENGÖZ KAZIM MERİÇ,YÜCEL SERAP,DEMİRAL AYŞE NUR,AKYÜREK SERAP (2018).  RESULTS OF STEREOTACTIC RADIATION THERAPY (SABR)IN EARLY STAGE LUNG CANCER: TURKISH RADIATION ONCOLOGYGROUP (TROG) STUDY.  IASLC 19TH WORLD CONFERENCE ON LUNG CANCER, 13(10), 836-836. (Tam Metin Bildiri/Sözlü Sunum)(Yayın No:4633663)</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YILDIRIM </w:t>
            </w:r>
            <w:proofErr w:type="gramStart"/>
            <w:r>
              <w:rPr>
                <w:rFonts w:ascii="Verdana" w:eastAsia="Verdana" w:hAnsi="Verdana" w:cs="Verdana"/>
                <w:sz w:val="18"/>
              </w:rPr>
              <w:t>BERNA,ÖNAL</w:t>
            </w:r>
            <w:proofErr w:type="gramEnd"/>
            <w:r>
              <w:rPr>
                <w:rFonts w:ascii="Verdana" w:eastAsia="Verdana" w:hAnsi="Verdana" w:cs="Verdana"/>
                <w:sz w:val="18"/>
              </w:rPr>
              <w:t xml:space="preserve"> HÜSEYİN CEM,YÜCE SARI SEZİN,YAVAŞ GÜLER,GÜLTEKİN MELİS,GÜLER OZAN CEM,YILDIZ FERAH,AKYÜREK SERAP (2018).  The Utility of Dissected Lymph Node Number and Lymph Node Metastasis Ratio In Stage IIIC Endometrium Adenocarcinoma: A Multicentric Analysis.  60th Annual Meeting of the American-Society-for-Radiation-Oncology (ASTRO), 102(3), 642-643</w:t>
            </w:r>
            <w:proofErr w:type="gramStart"/>
            <w:r>
              <w:rPr>
                <w:rFonts w:ascii="Verdana" w:eastAsia="Verdana" w:hAnsi="Verdana" w:cs="Verdana"/>
                <w:sz w:val="18"/>
              </w:rPr>
              <w:t>.,</w:t>
            </w:r>
            <w:proofErr w:type="gramEnd"/>
            <w:r>
              <w:rPr>
                <w:rFonts w:ascii="Verdana" w:eastAsia="Verdana" w:hAnsi="Verdana" w:cs="Verdana"/>
                <w:sz w:val="18"/>
              </w:rPr>
              <w:t xml:space="preserve"> Doi: 10.1016/j.ijrobp.2018.07.1750 (Tam Metin Bildiri/Sözlü Sunum)(Yayın No:4696814)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CEM,YÜCE</w:t>
            </w:r>
            <w:proofErr w:type="gramEnd"/>
            <w:r>
              <w:rPr>
                <w:rFonts w:ascii="Verdana" w:eastAsia="Verdana" w:hAnsi="Verdana" w:cs="Verdana"/>
                <w:sz w:val="18"/>
              </w:rPr>
              <w:t xml:space="preserve"> SARI SEZİN,Akkuş Yıldırım Berna,YAVAŞ GÜLER,GÜLTEKİN MELİS,GÜLER OZAN CEM,AKYÜREK SERAP,YILDIZ FERAH (2018).  A Multi-Institutional Analysis for Sequential Adjuvantchemotherapy and Radiation Versus “Sandwich” Multi̇-Modali̇ty for STAGE IIIC Endometri̇al Carci̇noma.  60th Annual Meeting of the American Society for Therapeutic Radiology and Oncology (Tam Metin Bildiri/Sözlü Sunum)(Yayın No:4722392)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YILDIRIM </w:t>
            </w:r>
            <w:proofErr w:type="gramStart"/>
            <w:r>
              <w:rPr>
                <w:rFonts w:ascii="Verdana" w:eastAsia="Verdana" w:hAnsi="Verdana" w:cs="Verdana"/>
                <w:sz w:val="18"/>
              </w:rPr>
              <w:t>BERNA,ÖNAL</w:t>
            </w:r>
            <w:proofErr w:type="gramEnd"/>
            <w:r>
              <w:rPr>
                <w:rFonts w:ascii="Verdana" w:eastAsia="Verdana" w:hAnsi="Verdana" w:cs="Verdana"/>
                <w:sz w:val="18"/>
              </w:rPr>
              <w:t xml:space="preserve"> HÜSEYİN CEM,YÜCE SARI SEZİN,YAVAŞ GÜLER,GÜLTEKİN MELİS,GÜLER OZAN CEM,YILDIZ FERAH,AKYÜREK SERAP (2018).  The Utility of Dissected Lymph Node Number and LymphNode Metastasis Ratio In Stage IIIC EndometriumAdenocarcinoma: A Multicentric Analysis.  ASTRO 2018 Annual Meeting (Özet Bildiri/Poster)(Yayın No:4419769)</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Pınar,DOĞAN İHSAN,BOZKURT MELİH,CAN BELGİN,GÖKÇE ŞABAN ÇAKIR (2018).  The impact of tianeptine in the prevention of radiation induced neurogenesis inhibition.  60th ASTRO, 102(3), 168, Doi: 10.1016/j.ijrobp.2018.07.637 (Tam Metin Bildiri/Sözlü Sunum)(Yayın No:4667920)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CEM,Sarı</w:t>
            </w:r>
            <w:proofErr w:type="gramEnd"/>
            <w:r>
              <w:rPr>
                <w:rFonts w:ascii="Verdana" w:eastAsia="Verdana" w:hAnsi="Verdana" w:cs="Verdana"/>
                <w:sz w:val="18"/>
              </w:rPr>
              <w:t xml:space="preserve"> Yüce Sezin,Yıldırım Akkuş Berna,YAVAŞ GÜLER,GÜLTEKİN MELİS,GÜLER OZAN CEM,AKYÜREK SERAP,YILDIZ FERAH (2018).  A Multi-Institutiona analysis for sequential adjuvant chemotherapy and radiation versus ’xxsandwich’xx multimodality for stage III endometrial carcinoma.  60th Annual Meeting of the American Society for Radiation Oncology, 102(3), 652, Doi: 10.1016/j.ijrobp.2018.07.1770 (Tam Metin Bildiri/Sözlü Sunum)(Yayın No:4587594)</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Akkuş Yıldırım </w:t>
            </w:r>
            <w:proofErr w:type="gramStart"/>
            <w:r>
              <w:rPr>
                <w:rFonts w:ascii="Verdana" w:eastAsia="Verdana" w:hAnsi="Verdana" w:cs="Verdana"/>
                <w:sz w:val="18"/>
              </w:rPr>
              <w:t>Berna,ÖNAL</w:t>
            </w:r>
            <w:proofErr w:type="gramEnd"/>
            <w:r>
              <w:rPr>
                <w:rFonts w:ascii="Verdana" w:eastAsia="Verdana" w:hAnsi="Verdana" w:cs="Verdana"/>
                <w:sz w:val="18"/>
              </w:rPr>
              <w:t xml:space="preserve"> HÜSEYİN CEM,YÜCE SARI SEZİN,YAVAŞ GÜLER,GÜLTEKİN MELİS,GÜLER OZAN CEM,YILDIZ FERAH,AKYÜREK SERAP (2018).  The Utility of Dissected Lymph Node Number and Lymph Node Metastasis Ratio In Stage IIIC Endometrium Adenocarcinoma: A Multicentric Analysis.  60th Annual Meeting of the American Society for Therapeutic Radiology and Oncology (Tam Metin Bildiri/Sözlü Sunum)(Yayın No:4722802)</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Yıldırım Akkuş </w:t>
            </w:r>
            <w:proofErr w:type="gramStart"/>
            <w:r>
              <w:rPr>
                <w:rFonts w:ascii="Verdana" w:eastAsia="Verdana" w:hAnsi="Verdana" w:cs="Verdana"/>
                <w:sz w:val="18"/>
              </w:rPr>
              <w:t>Berna,ÖNAL</w:t>
            </w:r>
            <w:proofErr w:type="gramEnd"/>
            <w:r>
              <w:rPr>
                <w:rFonts w:ascii="Verdana" w:eastAsia="Verdana" w:hAnsi="Verdana" w:cs="Verdana"/>
                <w:sz w:val="18"/>
              </w:rPr>
              <w:t xml:space="preserve"> HÜSEYİN CEM,Sarı Yüce Sezin,YAVAŞ GÜLER,GÜLTEKİN MELİS,GÜLER OZAN CEM,YILDIZ FERAH,AKYÜREK SERAP (2018).  The utility of dissected lymph node number and lymph node metastasis ratio in stage IIIC endometrium adenocarcinoma: A multicentric analysis.  </w:t>
            </w:r>
            <w:proofErr w:type="gramStart"/>
            <w:r>
              <w:rPr>
                <w:rFonts w:ascii="Verdana" w:eastAsia="Verdana" w:hAnsi="Verdana" w:cs="Verdana"/>
                <w:sz w:val="18"/>
              </w:rPr>
              <w:t>60th  ASTRO</w:t>
            </w:r>
            <w:proofErr w:type="gramEnd"/>
            <w:r>
              <w:rPr>
                <w:rFonts w:ascii="Verdana" w:eastAsia="Verdana" w:hAnsi="Verdana" w:cs="Verdana"/>
                <w:sz w:val="18"/>
              </w:rPr>
              <w:t xml:space="preserve"> (Tam Metin Bildiri/Sözlü Sunum)(Yayın No:4590075)</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CEM,YÜCE</w:t>
            </w:r>
            <w:proofErr w:type="gramEnd"/>
            <w:r>
              <w:rPr>
                <w:rFonts w:ascii="Verdana" w:eastAsia="Verdana" w:hAnsi="Verdana" w:cs="Verdana"/>
                <w:sz w:val="18"/>
              </w:rPr>
              <w:t xml:space="preserve"> SARI SEZİN,YILDIRIM BERNA,YAVAŞ GÜLER,GÜLTEKİN MELİS,GÜLER OZAN CEM,AKYÜREK SERAP,YILDIZ FERAH (2018).  A Multi-Institutional Analysis for SequentialAdjuvantchemotherapy and Radiation Versus “Sandwich”Multi_-Modali_ty for STAGE IIIC Endometri_al Carci_noma.  ASTRO 2018 Annual Meeting (Özet Bildiri/Poster)(Yayın No:4419797)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BANU,KAYTAN</w:t>
            </w:r>
            <w:proofErr w:type="gramEnd"/>
            <w:r>
              <w:rPr>
                <w:rFonts w:ascii="Verdana" w:eastAsia="Verdana" w:hAnsi="Verdana" w:cs="Verdana"/>
                <w:sz w:val="18"/>
              </w:rPr>
              <w:t xml:space="preserve"> SAĞLAM ESRA,AKGÜN ZÜLEYHA,Abacıoğlu Ufuk,ŞAHİN BİLGEHAN,ÖZYAR ENİS,Özşeker Naciye,KOÇAK UZEL ESENGÜL,Karaman Şule,İĞDEM MEHMET ŞEFİK,DİNÇBAŞ HİDAYET FAZİLET,YÜCEL BİRSEN,DEMİRAL AYŞE NUR,AKYÜREK SERAP (2018).  Medically Inoperable Early-Stage Lung Cancer Treated with Stereotactic Ablative Radiation Therapy (SABR): Multicenter Study of Turkish Radiation Oncology Group (TRO.  ASTRO, 102(3), 671-672</w:t>
            </w:r>
            <w:proofErr w:type="gramStart"/>
            <w:r>
              <w:rPr>
                <w:rFonts w:ascii="Verdana" w:eastAsia="Verdana" w:hAnsi="Verdana" w:cs="Verdana"/>
                <w:sz w:val="18"/>
              </w:rPr>
              <w:t>.,</w:t>
            </w:r>
            <w:proofErr w:type="gramEnd"/>
            <w:r>
              <w:rPr>
                <w:rFonts w:ascii="Verdana" w:eastAsia="Verdana" w:hAnsi="Verdana" w:cs="Verdana"/>
                <w:sz w:val="18"/>
              </w:rPr>
              <w:t xml:space="preserve"> Doi:  10.1016/j.ijrobp.2018.07.1815 (Tam Metin Bildiri/Sözlü Sunum)(Yayın No:4541477)</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9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ŞABAN ÇAKIR (2018).  The impact of tianeptine in the prevention of radiation induced neurogenesis inhibition.  60th ASTRO, Doi: 10.1016/j.ijrobp.2018.07.637 (Tam Metin Bildiri/Sözlü Sunum)(Yayın No:4590120)</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GÜMÜŞTEPE </w:t>
            </w:r>
            <w:proofErr w:type="gramStart"/>
            <w:r>
              <w:rPr>
                <w:rFonts w:ascii="Verdana" w:eastAsia="Verdana" w:hAnsi="Verdana" w:cs="Verdana"/>
                <w:sz w:val="18"/>
              </w:rPr>
              <w:t>ESRA,AKYÜREK</w:t>
            </w:r>
            <w:proofErr w:type="gramEnd"/>
            <w:r>
              <w:rPr>
                <w:rFonts w:ascii="Verdana" w:eastAsia="Verdana" w:hAnsi="Verdana" w:cs="Verdana"/>
                <w:sz w:val="18"/>
              </w:rPr>
              <w:t xml:space="preserve"> SERAP,Arslan Yakup,GÖKÇE ŞABAN ÇAKIR (2018).  Prognostic importance of sarcopeni and inflammatory statements in stage III non small cell lung carcinoma.  </w:t>
            </w: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400" w:type="dxa"/>
            <w:gridSpan w:val="3"/>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7660" w:type="dxa"/>
            <w:gridSpan w:val="20"/>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4</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tcMar>
              <w:top w:w="0" w:type="dxa"/>
              <w:left w:w="0" w:type="dxa"/>
              <w:bottom w:w="0" w:type="dxa"/>
              <w:right w:w="0" w:type="dxa"/>
            </w:tcMar>
          </w:tcPr>
          <w:p w:rsidR="007C3995" w:rsidRDefault="006E65C1">
            <w:pPr>
              <w:jc w:val="both"/>
            </w:pPr>
            <w:r>
              <w:rPr>
                <w:rFonts w:ascii="Verdana" w:eastAsia="Verdana" w:hAnsi="Verdana" w:cs="Verdana"/>
                <w:sz w:val="18"/>
              </w:rPr>
              <w:t>IASLC (Tam Metin Bildiri/Poster)(Yayın No:4543077)</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ergen şefika </w:t>
            </w:r>
            <w:proofErr w:type="gramStart"/>
            <w:r>
              <w:rPr>
                <w:rFonts w:ascii="Verdana" w:eastAsia="Verdana" w:hAnsi="Verdana" w:cs="Verdana"/>
                <w:sz w:val="18"/>
              </w:rPr>
              <w:t>arzu,DİNÇBAŞ</w:t>
            </w:r>
            <w:proofErr w:type="gramEnd"/>
            <w:r>
              <w:rPr>
                <w:rFonts w:ascii="Verdana" w:eastAsia="Verdana" w:hAnsi="Verdana" w:cs="Verdana"/>
                <w:sz w:val="18"/>
              </w:rPr>
              <w:t xml:space="preserve"> HİDAYET FAZİLET,METCALFE EVRİM,AKYÜREK SERAP,YAVAŞ GÜLER,ülger şükran,ŞİRİN ÖZDEMİR BEYZA,YÜCEL BİRSEN,ÇOLPAN ÖKSÜZ DİDEM,ŞENOCAK MUSTAFA ŞÜKRÜ,bozcuk hakan (2017).  Patterns of Failure and the Prognostic Factors of the Patients with LD SCLC according to the TNM Staging TOG-TROD Study.  IASLC (Özet Bildiri/Poster)(Yayın No:4075821)</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ergen Arzu </w:t>
            </w:r>
            <w:proofErr w:type="gramStart"/>
            <w:r>
              <w:rPr>
                <w:rFonts w:ascii="Verdana" w:eastAsia="Verdana" w:hAnsi="Verdana" w:cs="Verdana"/>
                <w:sz w:val="18"/>
              </w:rPr>
              <w:t>Şefika,DİNÇBAŞ</w:t>
            </w:r>
            <w:proofErr w:type="gramEnd"/>
            <w:r>
              <w:rPr>
                <w:rFonts w:ascii="Verdana" w:eastAsia="Verdana" w:hAnsi="Verdana" w:cs="Verdana"/>
                <w:sz w:val="18"/>
              </w:rPr>
              <w:t xml:space="preserve"> HİDAYET FAZİLET,METCALFE EVRİM,AKYÜREK SERAP,YAVAŞ GÜLER,ÜLGER ŞÜKRAN,Özdemir Beyza Şirin,YÜCEL BİRSEN,Öksüz Didem Çolpan,ŞENOCAK MUSTAFA ŞÜKRÜ,Bozcuk Hakan (2016).  Patterns of Failure and prognostic factors of the patients with LD SCLC according to the TNM </w:t>
            </w:r>
            <w:proofErr w:type="gramStart"/>
            <w:r>
              <w:rPr>
                <w:rFonts w:ascii="Verdana" w:eastAsia="Verdana" w:hAnsi="Verdana" w:cs="Verdana"/>
                <w:sz w:val="18"/>
              </w:rPr>
              <w:t>staging  TOG</w:t>
            </w:r>
            <w:proofErr w:type="gramEnd"/>
            <w:r>
              <w:rPr>
                <w:rFonts w:ascii="Verdana" w:eastAsia="Verdana" w:hAnsi="Verdana" w:cs="Verdana"/>
                <w:sz w:val="18"/>
              </w:rPr>
              <w:t xml:space="preserve"> TROD study.  IASLC World Conference (/)(Yayın No:3193956)</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Ergen Arzu </w:t>
            </w:r>
            <w:proofErr w:type="gramStart"/>
            <w:r>
              <w:rPr>
                <w:rFonts w:ascii="Verdana" w:eastAsia="Verdana" w:hAnsi="Verdana" w:cs="Verdana"/>
                <w:sz w:val="18"/>
              </w:rPr>
              <w:t>Şefika,DİNÇBAŞ</w:t>
            </w:r>
            <w:proofErr w:type="gramEnd"/>
            <w:r>
              <w:rPr>
                <w:rFonts w:ascii="Verdana" w:eastAsia="Verdana" w:hAnsi="Verdana" w:cs="Verdana"/>
                <w:sz w:val="18"/>
              </w:rPr>
              <w:t xml:space="preserve"> HİDAYET FAZİLET,YÜCEL BİRSEN,AKYÜREK SERAP,ÜLGER ŞÜKRAN,ETİZ DURMUŞ,Korkmaz Esra,yılmaz ufuk,ŞENOCAK MUSTAFA ŞÜKRÜ,Bozcuk Hakan,KILIÇ DİCLEHAN (2016).  Risk factors of radiation pneumonitis in the patients with non </w:t>
            </w:r>
            <w:proofErr w:type="gramStart"/>
            <w:r>
              <w:rPr>
                <w:rFonts w:ascii="Verdana" w:eastAsia="Verdana" w:hAnsi="Verdana" w:cs="Verdana"/>
                <w:sz w:val="18"/>
              </w:rPr>
              <w:t>small  cell</w:t>
            </w:r>
            <w:proofErr w:type="gramEnd"/>
            <w:r>
              <w:rPr>
                <w:rFonts w:ascii="Verdana" w:eastAsia="Verdana" w:hAnsi="Verdana" w:cs="Verdana"/>
                <w:sz w:val="18"/>
              </w:rPr>
              <w:t xml:space="preserve"> lung cancer treated by concomitant chemoradiation therapy  TOG TROD Lung Cancer Study Group.  ASTRO (/)(Yayın No:3170175)</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7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w:t>
            </w:r>
            <w:proofErr w:type="gramStart"/>
            <w:r>
              <w:rPr>
                <w:rFonts w:ascii="Verdana" w:eastAsia="Verdana" w:hAnsi="Verdana" w:cs="Verdana"/>
                <w:sz w:val="18"/>
              </w:rPr>
              <w:t>SERAP,Özdemir</w:t>
            </w:r>
            <w:proofErr w:type="gramEnd"/>
            <w:r>
              <w:rPr>
                <w:rFonts w:ascii="Verdana" w:eastAsia="Verdana" w:hAnsi="Verdana" w:cs="Verdana"/>
                <w:sz w:val="18"/>
              </w:rPr>
              <w:t xml:space="preserve"> Beyza  Şirin,SERT FATMA,YALMAN DENİZ,YAVAŞ GÜLER,CENGİZ MUSTAFA,BAKKAL BEKİR HAKAN,YÖNEY ADNAN,KÖSE SERDAL KENAN (2016).  Radiotherapy and chemotherapy results in elderly patients with stage III non small cell lung </w:t>
            </w:r>
            <w:proofErr w:type="gramStart"/>
            <w:r>
              <w:rPr>
                <w:rFonts w:ascii="Verdana" w:eastAsia="Verdana" w:hAnsi="Verdana" w:cs="Verdana"/>
                <w:sz w:val="18"/>
              </w:rPr>
              <w:t>cancer  Turkish</w:t>
            </w:r>
            <w:proofErr w:type="gramEnd"/>
            <w:r>
              <w:rPr>
                <w:rFonts w:ascii="Verdana" w:eastAsia="Verdana" w:hAnsi="Verdana" w:cs="Verdana"/>
                <w:sz w:val="18"/>
              </w:rPr>
              <w:t xml:space="preserve"> Thoracic  Radiation Oncology Group Study.  ASTRO (/)(Yayın No:3169666)</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18.</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BANU,Ozşahin</w:t>
            </w:r>
            <w:proofErr w:type="gramEnd"/>
            <w:r>
              <w:rPr>
                <w:rFonts w:ascii="Verdana" w:eastAsia="Verdana" w:hAnsi="Verdana" w:cs="Verdana"/>
                <w:sz w:val="18"/>
              </w:rPr>
              <w:t xml:space="preserve"> M,Call J,Napieralska A,KAMER EMİNE SERRA,Salvador V,ERPOLAT ÖZGE PETEK,Negretti L,Ramstad YL,ÖNAL HÜSEYİN CEM,AKYÜREK SERAP,Ugurluer Gamze,Servagivernat S,Baumert B,Miller RC,ÖZYAR ENİS,Sio T (2016).  Outcome and prognosticators in adult patients with </w:t>
            </w:r>
            <w:proofErr w:type="gramStart"/>
            <w:r>
              <w:rPr>
                <w:rFonts w:ascii="Verdana" w:eastAsia="Verdana" w:hAnsi="Verdana" w:cs="Verdana"/>
                <w:sz w:val="18"/>
              </w:rPr>
              <w:t>medullablastoma  A</w:t>
            </w:r>
            <w:proofErr w:type="gramEnd"/>
            <w:r>
              <w:rPr>
                <w:rFonts w:ascii="Verdana" w:eastAsia="Verdana" w:hAnsi="Verdana" w:cs="Verdana"/>
                <w:sz w:val="18"/>
              </w:rPr>
              <w:t xml:space="preserve"> rare cancer network study.  ESTRO (/)(Yayın No:3170631)</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19.</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Manuchehr </w:t>
            </w:r>
            <w:proofErr w:type="gramStart"/>
            <w:r>
              <w:rPr>
                <w:rFonts w:ascii="Verdana" w:eastAsia="Verdana" w:hAnsi="Verdana" w:cs="Verdana"/>
                <w:sz w:val="18"/>
              </w:rPr>
              <w:t>Salehi,Kütük</w:t>
            </w:r>
            <w:proofErr w:type="gramEnd"/>
            <w:r>
              <w:rPr>
                <w:rFonts w:ascii="Verdana" w:eastAsia="Verdana" w:hAnsi="Verdana" w:cs="Verdana"/>
                <w:sz w:val="18"/>
              </w:rPr>
              <w:t xml:space="preserve"> Tugçe,AKYÜREK SERAP,GÖKÇE ŞABAN ÇAKIR (2015).  </w:t>
            </w:r>
            <w:proofErr w:type="gramStart"/>
            <w:r>
              <w:rPr>
                <w:rFonts w:ascii="Verdana" w:eastAsia="Verdana" w:hAnsi="Verdana" w:cs="Verdana"/>
                <w:sz w:val="18"/>
              </w:rPr>
              <w:t>Radiotherapy  Plus</w:t>
            </w:r>
            <w:proofErr w:type="gramEnd"/>
            <w:r>
              <w:rPr>
                <w:rFonts w:ascii="Verdana" w:eastAsia="Verdana" w:hAnsi="Verdana" w:cs="Verdana"/>
                <w:sz w:val="18"/>
              </w:rPr>
              <w:t xml:space="preserve"> Concomitant and Adjuvant Temozolamide in Elderly Patients with Glioblastoma Multiforme.  EORTC, ESMO, EANO Conference (/)(Yayın No:2163122)</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20.</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 xml:space="preserve">D. Ulusal hakemli dergilerde yayımlanan </w:t>
            </w:r>
            <w:proofErr w:type="gramStart"/>
            <w:r>
              <w:rPr>
                <w:rFonts w:ascii="Verdana" w:eastAsia="Verdana" w:hAnsi="Verdana" w:cs="Verdana"/>
                <w:b/>
                <w:color w:val="666666"/>
                <w:sz w:val="22"/>
              </w:rPr>
              <w:t>makaleler :</w:t>
            </w:r>
            <w:proofErr w:type="gramEnd"/>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AKYÜREK </w:t>
            </w:r>
            <w:proofErr w:type="gramStart"/>
            <w:r>
              <w:rPr>
                <w:rFonts w:ascii="Verdana" w:eastAsia="Verdana" w:hAnsi="Verdana" w:cs="Verdana"/>
                <w:sz w:val="18"/>
              </w:rPr>
              <w:t>SERAP,Chang</w:t>
            </w:r>
            <w:proofErr w:type="gramEnd"/>
            <w:r>
              <w:rPr>
                <w:rFonts w:ascii="Verdana" w:eastAsia="Verdana" w:hAnsi="Verdana" w:cs="Verdana"/>
                <w:sz w:val="18"/>
              </w:rPr>
              <w:t xml:space="preserve"> Eric,Mahajan Anita,Hassenbuch Samuel,Alen Pamela,Mathews Leni,Shiu Almon,Maor Moshe,Woo Shiao (2007).  Stereotactic radiosurgical treatment of cerebral metastases arising from breast </w:t>
            </w:r>
            <w:proofErr w:type="gramStart"/>
            <w:r>
              <w:rPr>
                <w:rFonts w:ascii="Verdana" w:eastAsia="Verdana" w:hAnsi="Verdana" w:cs="Verdana"/>
                <w:sz w:val="18"/>
              </w:rPr>
              <w:t>cancer .</w:t>
            </w:r>
            <w:proofErr w:type="gramEnd"/>
            <w:r>
              <w:rPr>
                <w:rFonts w:ascii="Verdana" w:eastAsia="Verdana" w:hAnsi="Verdana" w:cs="Verdana"/>
                <w:sz w:val="18"/>
              </w:rPr>
              <w:t xml:space="preserve">  Am J Clin Oncol(30), 310, Atıf Sayısı: 46 (Kontrol No: 765256)</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20" w:type="dxa"/>
            <w:gridSpan w:val="35"/>
            <w:tcMar>
              <w:top w:w="0" w:type="dxa"/>
              <w:left w:w="0" w:type="dxa"/>
              <w:bottom w:w="0" w:type="dxa"/>
              <w:right w:w="0" w:type="dxa"/>
            </w:tcMar>
          </w:tcPr>
          <w:p w:rsidR="007C3995" w:rsidRDefault="006E65C1">
            <w:r>
              <w:rPr>
                <w:rFonts w:ascii="Verdana" w:eastAsia="Verdana" w:hAnsi="Verdana" w:cs="Verdana"/>
                <w:b/>
                <w:color w:val="666666"/>
                <w:sz w:val="22"/>
              </w:rPr>
              <w:t>E. Ulusal bilimsel toplantılarda sunulan ve bildiri kitaplarında basılan bildiriler:</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TANYILDIZ HİKMET </w:t>
            </w:r>
            <w:proofErr w:type="gramStart"/>
            <w:r>
              <w:rPr>
                <w:rFonts w:ascii="Verdana" w:eastAsia="Verdana" w:hAnsi="Verdana" w:cs="Verdana"/>
                <w:sz w:val="18"/>
              </w:rPr>
              <w:t>GÜLŞAH,TAÇYILDIZ</w:t>
            </w:r>
            <w:proofErr w:type="gramEnd"/>
            <w:r>
              <w:rPr>
                <w:rFonts w:ascii="Verdana" w:eastAsia="Verdana" w:hAnsi="Verdana" w:cs="Verdana"/>
                <w:sz w:val="18"/>
              </w:rPr>
              <w:t xml:space="preserve"> NURDAN,DİNÇASLAN HANDAN,ÜNAL EMEL,YAVUZ LEMAN GÜLSAN,SOYGÜR YAKUP TARKAN,ÇAKMAK AHMET MURAT,KANKAYA DUYGU,FİTOZ ÖMER SUAT,AKYÜREK SERAP (2018).  WILMS TÜMÖRÜ OLGULARI.  20.Ulusal Pediatirk Kanser Kongresi (Tam Metin Bildiri/Poster)(Yayın No:4392769)</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1.</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ŞABAN ÇAKIR (2018).  Radyasyona Bağlı Hipokampal Nörogenez İnhibisyonunda Tianeptinin Etkisi. XIII. Ulusal Radyasyon Onkolojisi Kongresi.  XIII. Ulusal Radyasyon Onkolojisi Kongresi (Özet Bildiri/Sözlü Sunum)(Yayın No:4274564)</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2.</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ERGEN ŞEFİKA  </w:t>
            </w:r>
            <w:proofErr w:type="gramStart"/>
            <w:r>
              <w:rPr>
                <w:rFonts w:ascii="Verdana" w:eastAsia="Verdana" w:hAnsi="Verdana" w:cs="Verdana"/>
                <w:sz w:val="18"/>
              </w:rPr>
              <w:t>ARZU,ÖNER</w:t>
            </w:r>
            <w:proofErr w:type="gramEnd"/>
            <w:r>
              <w:rPr>
                <w:rFonts w:ascii="Verdana" w:eastAsia="Verdana" w:hAnsi="Verdana" w:cs="Verdana"/>
                <w:sz w:val="18"/>
              </w:rPr>
              <w:t xml:space="preserve"> DİNÇBAŞ FAZİLET,ALTINOK PELİN,KORKMAZ KIRAKLI ESRA,BAHAT ZÜMRÜT,ÖZBEK OKUMUŞ NİLGÜN,İRİBAŞ AYÇA,GEDİK DUYGU,AKYÜREK SERAP,AĞAOĞLU FULYA (2018).  Retroperitoneal Sarkomlarda Klinisyen yönelim Anket Çalışması: TOG Kemik ve Yumuşak Doku Sarkomları Çalışma Grubu.  13. Ulusal Radyasyon Onkolojisi Kongresi, 31-32. (Tam Metin Bildiri/Sözlü Sunum)(Yayın No:4385119)</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3.</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ŞAHAN ÇAKIR (2018).  Radyasyona bağlı hipokampal nörogenez inhibisyonunda Tianeptin’xxin etkisi.  ULUSAL RADYASYON ONKOLOJİSİ KONGRESİ, 33(1), 21-21. (Özet Bildiri/Sözlü Sunum)(Yayın No:4437710)</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4.</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CEM,YÜCE</w:t>
            </w:r>
            <w:proofErr w:type="gramEnd"/>
            <w:r>
              <w:rPr>
                <w:rFonts w:ascii="Verdana" w:eastAsia="Verdana" w:hAnsi="Verdana" w:cs="Verdana"/>
                <w:sz w:val="18"/>
              </w:rPr>
              <w:t xml:space="preserve"> SARI SEZİN,YILDIRIM BERNA,YAVAŞ GÜLER,GÜLTEKİN MELİS,GÜLER OZAN CEM,YILDIZ FERAH,AKYÜREK SERAP (2018).  Evre iiic endometrium adenokarsinomali hastalarda lenf nodu metastaz oraninin prognostik önemi-çok merkezli analiz</w:t>
            </w:r>
            <w:proofErr w:type="gramStart"/>
            <w:r>
              <w:rPr>
                <w:rFonts w:ascii="Verdana" w:eastAsia="Verdana" w:hAnsi="Verdana" w:cs="Verdana"/>
                <w:sz w:val="18"/>
              </w:rPr>
              <w:t>..</w:t>
            </w:r>
            <w:proofErr w:type="gramEnd"/>
            <w:r>
              <w:rPr>
                <w:rFonts w:ascii="Verdana" w:eastAsia="Verdana" w:hAnsi="Verdana" w:cs="Verdana"/>
                <w:sz w:val="18"/>
              </w:rPr>
              <w:t xml:space="preserve">  13. Ulusal Radyasyon Onkolojisi Kongresi. (Özet Bildiri/Poster)(Yayın No:4395335)</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5.</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Pınar,DOĞAN İHSAN,BOZKURT MELİH,CAN BELGİN,GÖKÇE ŞABAN ÇAKIR (2018).  Radyasyona Bağlı Hipokampal Nörogenez İnhibisyonunda Tianeptin’xx xxin Etkisi.  ULUSAL RADYASYON ONKOLOJİSİ KONGRESİ, 33(1), 21-21. (Özet Bildiri/Sözlü Sunum)(Yayın No:4668328)</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6.</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CEM,YÜCE</w:t>
            </w:r>
            <w:proofErr w:type="gramEnd"/>
            <w:r>
              <w:rPr>
                <w:rFonts w:ascii="Verdana" w:eastAsia="Verdana" w:hAnsi="Verdana" w:cs="Verdana"/>
                <w:sz w:val="18"/>
              </w:rPr>
              <w:t xml:space="preserve"> SARI SEZİN,YILDIRIM BERNA,YAVAŞ GÜLER,bahadir melis,GÜLER OZAN CEM,AKYÜREK SERAP,YILDIZ FERAH (2018).  Evre IIIc endometrium kanserinde hangi adjuvan uygulama etkili? - sirali veya sandviç uygulama – çok merkezli analiz</w:t>
            </w:r>
            <w:proofErr w:type="gramStart"/>
            <w:r>
              <w:rPr>
                <w:rFonts w:ascii="Verdana" w:eastAsia="Verdana" w:hAnsi="Verdana" w:cs="Verdana"/>
                <w:sz w:val="18"/>
              </w:rPr>
              <w:t>..</w:t>
            </w:r>
            <w:proofErr w:type="gramEnd"/>
            <w:r>
              <w:rPr>
                <w:rFonts w:ascii="Verdana" w:eastAsia="Verdana" w:hAnsi="Verdana" w:cs="Verdana"/>
                <w:sz w:val="18"/>
              </w:rPr>
              <w:t xml:space="preserve">  13. Ulusal Radyasyon Onkolojisi Kongresi (Özet Bildiri/Sözlü Sunum)(Yayın No:4395291)</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7.</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7660" w:type="dxa"/>
            <w:gridSpan w:val="20"/>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5</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ALKAN </w:t>
            </w:r>
            <w:proofErr w:type="gramStart"/>
            <w:r>
              <w:rPr>
                <w:rFonts w:ascii="Verdana" w:eastAsia="Verdana" w:hAnsi="Verdana" w:cs="Verdana"/>
                <w:sz w:val="18"/>
              </w:rPr>
              <w:t>ALİ,MIZRAK</w:t>
            </w:r>
            <w:proofErr w:type="gramEnd"/>
            <w:r>
              <w:rPr>
                <w:rFonts w:ascii="Verdana" w:eastAsia="Verdana" w:hAnsi="Verdana" w:cs="Verdana"/>
                <w:sz w:val="18"/>
              </w:rPr>
              <w:t xml:space="preserve"> KAYA DILŞA,Karci Ebru,Yasar Arzu,Koksoy Elif Berna,Ürün Muslih,Kütük Tuğçe,Özyurt Neslihan,ÜRÜN YÜKSEL,ÇAY ŞENLER FİLİZ,AKYÜREK SERAP,UTKAN GÜNGÖR,GÖKÇE ŞABAN ÇAKIR,AKBULUT HAKAN (2017).  Evre III Mide Kanseri Adjuvant Tedavisinde Dosetaksel-Sisplatin-Fluorourasil (DCF) Rejiminin Etkinliği.  22. Ulusal Kanser Kongresi (Özet Bildiri/Sözlü Sunum)(Yayın No:4383435)</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8.</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Salehi </w:t>
            </w:r>
            <w:proofErr w:type="gramStart"/>
            <w:r>
              <w:rPr>
                <w:rFonts w:ascii="Verdana" w:eastAsia="Verdana" w:hAnsi="Verdana" w:cs="Verdana"/>
                <w:sz w:val="18"/>
              </w:rPr>
              <w:t>Manuchehr,Kütük</w:t>
            </w:r>
            <w:proofErr w:type="gramEnd"/>
            <w:r>
              <w:rPr>
                <w:rFonts w:ascii="Verdana" w:eastAsia="Verdana" w:hAnsi="Verdana" w:cs="Verdana"/>
                <w:sz w:val="18"/>
              </w:rPr>
              <w:t xml:space="preserve"> Tuğçe,AKYÜREK SERAP,GÖKÇE ŞABAN ÇAKIR (2015).  Yaşlı GBM tanılı hastalarda eşzamanlı temozolamid ile </w:t>
            </w:r>
            <w:proofErr w:type="gramStart"/>
            <w:r>
              <w:rPr>
                <w:rFonts w:ascii="Verdana" w:eastAsia="Verdana" w:hAnsi="Verdana" w:cs="Verdana"/>
                <w:sz w:val="18"/>
              </w:rPr>
              <w:t>radyoterapi</w:t>
            </w:r>
            <w:proofErr w:type="gramEnd"/>
            <w:r>
              <w:rPr>
                <w:rFonts w:ascii="Verdana" w:eastAsia="Verdana" w:hAnsi="Verdana" w:cs="Verdana"/>
                <w:sz w:val="18"/>
              </w:rPr>
              <w:t xml:space="preserve"> ve adjuvan temozolamid sonuçları.  UKK (/)(Yayın No:2163525)</w:t>
            </w: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Mar>
              <w:top w:w="0" w:type="dxa"/>
              <w:left w:w="0" w:type="dxa"/>
              <w:bottom w:w="0" w:type="dxa"/>
              <w:right w:w="0" w:type="dxa"/>
            </w:tcMar>
          </w:tcPr>
          <w:p w:rsidR="007C3995" w:rsidRDefault="006E65C1">
            <w:pPr>
              <w:jc w:val="center"/>
            </w:pPr>
            <w:r>
              <w:rPr>
                <w:rFonts w:ascii="Verdana" w:eastAsia="Verdana" w:hAnsi="Verdana" w:cs="Verdana"/>
                <w:sz w:val="18"/>
              </w:rPr>
              <w:t>9.</w:t>
            </w: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9400" w:type="dxa"/>
            <w:gridSpan w:val="29"/>
            <w:vMerge/>
            <w:tcMar>
              <w:top w:w="0" w:type="dxa"/>
              <w:left w:w="0" w:type="dxa"/>
              <w:bottom w:w="0" w:type="dxa"/>
              <w:right w:w="0" w:type="dxa"/>
            </w:tcMar>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3000" w:type="dxa"/>
            <w:gridSpan w:val="15"/>
            <w:tcMar>
              <w:top w:w="0" w:type="dxa"/>
              <w:left w:w="0" w:type="dxa"/>
              <w:bottom w:w="0" w:type="dxa"/>
              <w:right w:w="0" w:type="dxa"/>
            </w:tcMar>
          </w:tcPr>
          <w:p w:rsidR="007C3995" w:rsidRDefault="006E65C1">
            <w:r>
              <w:rPr>
                <w:rFonts w:ascii="Verdana" w:eastAsia="Verdana" w:hAnsi="Verdana" w:cs="Verdana"/>
                <w:b/>
                <w:color w:val="666666"/>
                <w:sz w:val="24"/>
              </w:rPr>
              <w:t>Diğer Yayınlar</w:t>
            </w: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ATALAR </w:t>
            </w:r>
            <w:proofErr w:type="gramStart"/>
            <w:r>
              <w:rPr>
                <w:rFonts w:ascii="Verdana" w:eastAsia="Verdana" w:hAnsi="Verdana" w:cs="Verdana"/>
                <w:sz w:val="18"/>
              </w:rPr>
              <w:t>BANU,KAYTAN</w:t>
            </w:r>
            <w:proofErr w:type="gramEnd"/>
            <w:r>
              <w:rPr>
                <w:rFonts w:ascii="Verdana" w:eastAsia="Verdana" w:hAnsi="Verdana" w:cs="Verdana"/>
                <w:sz w:val="18"/>
              </w:rPr>
              <w:t xml:space="preserve"> SAĞLAM ESRA,AKGÜN ZÜLEYHA,abacioğlu ufuk,ŞAHİN BİLGEHAN,ÖZYAR ENİS,YAPRAK GÖKHAN,Özşeker Naciye,KOÇAK UZEL ESENGÜL,Karaman Şule,İĞDEM MEHMET ŞEFİK,SELEK UĞUR,DİNÇBAŞ HİDAYET FAZİLET,ŞENGÖZ KAZIM MERİÇ,YÜCEL BİRSEN,DEMİRAL AYŞE NUR,AKYÜREK SERAP (2018).  Medically Inoperable Early-Stage Lung Cancer Treated with Stereotactic Ablative Radiation Therapy (SABR): Multicenter Study of Turkish Radiation Oncology Group (TROG).  International Journal of Radiation OncologyBiologyPhysics, 102(3), 671-672</w:t>
            </w:r>
            <w:proofErr w:type="gramStart"/>
            <w:r>
              <w:rPr>
                <w:rFonts w:ascii="Verdana" w:eastAsia="Verdana" w:hAnsi="Verdana" w:cs="Verdana"/>
                <w:sz w:val="18"/>
              </w:rPr>
              <w:t>.,</w:t>
            </w:r>
            <w:proofErr w:type="gramEnd"/>
            <w:r>
              <w:rPr>
                <w:rFonts w:ascii="Verdana" w:eastAsia="Verdana" w:hAnsi="Verdana" w:cs="Verdana"/>
                <w:sz w:val="18"/>
              </w:rPr>
              <w:t xml:space="preserve"> Doi: 10.1016/j.ijrobp.2018.07.1815 (Uluslararası) (Hakemli) (MAKALE Özet) (Yayın No: 4542815)</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1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ŞABAN ÇAKIR (2018).  The Impact of Tianeptine in the Prevention of Radiation-Induced Neurogenesis Inhibition.  International Journal of Radiation OncologyBiologyPhysics, 102(3), 168, Doi: 10.1016/j.ijrobp.2018.07.637 (Uluslararası) (Hakemli) (MAKALE Özet) (Yayın No: 4665058)</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ŞABAN ÇAKIR (2018).  The Impact of Tianeptine in the Prevention of Radiation-Induced Neurogenesis Inhibition.  International Journal of Radiation OncologyBiologyPhysics, 102(3), 168, Doi: 10.1016/j.ijrobp.2018.07.637 (Uluslararası) (Hakemli) (MAKALE Özet) (Yayın No: 4625450)</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ÖNAL HÜSEYİN </w:t>
            </w:r>
            <w:proofErr w:type="gramStart"/>
            <w:r>
              <w:rPr>
                <w:rFonts w:ascii="Verdana" w:eastAsia="Verdana" w:hAnsi="Verdana" w:cs="Verdana"/>
                <w:sz w:val="18"/>
              </w:rPr>
              <w:t>CEM,Sarı</w:t>
            </w:r>
            <w:proofErr w:type="gramEnd"/>
            <w:r>
              <w:rPr>
                <w:rFonts w:ascii="Verdana" w:eastAsia="Verdana" w:hAnsi="Verdana" w:cs="Verdana"/>
                <w:sz w:val="18"/>
              </w:rPr>
              <w:t xml:space="preserve"> Yüce Sezin,Yıldırım Akkuş Berna,YAVAŞ GÜLER,AKYÜREK SERAP,YILDIZ FERAH (2018).  A Multi-Institutional Analysis for Sequential Adjuvantchemotherapy and Radiation Versus “Sandwich” Multi̇-Modali̇ty for STAGE IIIC Endometri̇al Carci̇noma.  International Journal of Radiation OncologyBiologyPhysics, 102(3), 652, Doi: 10.1016/j.ijrobp.2018.07.1770 (Uluslararası) (Hakemli) (MAKALE Özet) (Yayın No: 4542919)</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ŞABAN ÇAKIR (2018).  The Impact of Tianeptine in the Prevention of Radiation-Induced Neurogenesis Inhibition.  International Journal of Radiation OncologyBiologyPhysics, 102(3), 168, Doi: 10.1016/j.ijrobp.2018.07.637 (Uluslararası) (Hakemli) (MAKALE Özet) (Yayın No: 4525542)</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YAVAŞ </w:t>
            </w:r>
            <w:proofErr w:type="gramStart"/>
            <w:r>
              <w:rPr>
                <w:rFonts w:ascii="Verdana" w:eastAsia="Verdana" w:hAnsi="Verdana" w:cs="Verdana"/>
                <w:sz w:val="18"/>
              </w:rPr>
              <w:t>GÜLER,YAVAŞ</w:t>
            </w:r>
            <w:proofErr w:type="gramEnd"/>
            <w:r>
              <w:rPr>
                <w:rFonts w:ascii="Verdana" w:eastAsia="Verdana" w:hAnsi="Verdana" w:cs="Verdana"/>
                <w:sz w:val="18"/>
              </w:rPr>
              <w:t xml:space="preserve"> ÇAĞDAŞ,AKYÜREK SERAP (2018).  Comment on “Serum human epididymis protein 4 is associated with the treatment response of concurrent chemo-radiotherapy and prognosis in patients with locally advanced non-small cell lung cancer” by Lan WG et al</w:t>
            </w:r>
            <w:proofErr w:type="gramStart"/>
            <w:r>
              <w:rPr>
                <w:rFonts w:ascii="Verdana" w:eastAsia="Verdana" w:hAnsi="Verdana" w:cs="Verdana"/>
                <w:sz w:val="18"/>
              </w:rPr>
              <w:t>..</w:t>
            </w:r>
            <w:proofErr w:type="gramEnd"/>
            <w:r>
              <w:rPr>
                <w:rFonts w:ascii="Verdana" w:eastAsia="Verdana" w:hAnsi="Verdana" w:cs="Verdana"/>
                <w:sz w:val="18"/>
              </w:rPr>
              <w:t xml:space="preserve">  Clinical and Translational Oncology, Doi: 10.1007/s12094-017-1775-2 (Uluslararası) (Hakemli) (MAKALE Editöre Mektup) (Yayın No: 3757599)</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6.</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soydal </w:t>
            </w:r>
            <w:proofErr w:type="gramStart"/>
            <w:r>
              <w:rPr>
                <w:rFonts w:ascii="Verdana" w:eastAsia="Verdana" w:hAnsi="Verdana" w:cs="Verdana"/>
                <w:sz w:val="18"/>
              </w:rPr>
              <w:t>cigdem,ozkan</w:t>
            </w:r>
            <w:proofErr w:type="gramEnd"/>
            <w:r>
              <w:rPr>
                <w:rFonts w:ascii="Verdana" w:eastAsia="Verdana" w:hAnsi="Verdana" w:cs="Verdana"/>
                <w:sz w:val="18"/>
              </w:rPr>
              <w:t xml:space="preserve"> elgin,AKYÜREK SERAP,kucuk ozlem (2016).  Marked Response to 177Lu Prostate Specific Membrane Antigen Treatment in Patient With Metastatic Prostate Cancer.  Clinical Nuclear Medicine, 41(2), 159-160</w:t>
            </w:r>
            <w:proofErr w:type="gramStart"/>
            <w:r>
              <w:rPr>
                <w:rFonts w:ascii="Verdana" w:eastAsia="Verdana" w:hAnsi="Verdana" w:cs="Verdana"/>
                <w:sz w:val="18"/>
              </w:rPr>
              <w:t>.,</w:t>
            </w:r>
            <w:proofErr w:type="gramEnd"/>
            <w:r>
              <w:rPr>
                <w:rFonts w:ascii="Verdana" w:eastAsia="Verdana" w:hAnsi="Verdana" w:cs="Verdana"/>
                <w:sz w:val="18"/>
              </w:rPr>
              <w:t xml:space="preserve"> Doi: 10.1097/RLU.0000000000001058 (Uluslararası) (Hakemli) (MAKALE Vaka Takdimi) (Yayın No: 1884103)</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7.</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Teknik Not, Vaka Takdimi, Araştırma notu vb.</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Özet, ÖNAL HÜSEYİN </w:t>
            </w:r>
            <w:proofErr w:type="gramStart"/>
            <w:r>
              <w:rPr>
                <w:rFonts w:ascii="Verdana" w:eastAsia="Verdana" w:hAnsi="Verdana" w:cs="Verdana"/>
                <w:sz w:val="18"/>
              </w:rPr>
              <w:t>CEM,Sarı</w:t>
            </w:r>
            <w:proofErr w:type="gramEnd"/>
            <w:r>
              <w:rPr>
                <w:rFonts w:ascii="Verdana" w:eastAsia="Verdana" w:hAnsi="Verdana" w:cs="Verdana"/>
                <w:sz w:val="18"/>
              </w:rPr>
              <w:t xml:space="preserve"> Yüce Sezin,Yıldırım Akkuş Berna,YAVAŞ GÜLER,AKYÜREK SERAP,YILDIZ FERAH (2018).  A Multi-Institutional Analysis for Sequential Adjuvantchemotherapy and Radiation Versus “Sandwich” Multi̇-Modali̇ty for STAGE IIIC Endometri̇al Carci̇noma.  International Journal of Radiation OncologyBiologyPhysics, 102(3), 652, Doi: 10.1016/j.ijrobp.2018.07.1770 (Yayın No: 4542919)</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1.</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Özet, ATALAR </w:t>
            </w:r>
            <w:proofErr w:type="gramStart"/>
            <w:r>
              <w:rPr>
                <w:rFonts w:ascii="Verdana" w:eastAsia="Verdana" w:hAnsi="Verdana" w:cs="Verdana"/>
                <w:sz w:val="18"/>
              </w:rPr>
              <w:t>BANU,KAYTAN</w:t>
            </w:r>
            <w:proofErr w:type="gramEnd"/>
            <w:r>
              <w:rPr>
                <w:rFonts w:ascii="Verdana" w:eastAsia="Verdana" w:hAnsi="Verdana" w:cs="Verdana"/>
                <w:sz w:val="18"/>
              </w:rPr>
              <w:t xml:space="preserve"> SAĞLAM ESRA,AKGÜN ZÜLEYHA,abacioğlu ufuk,ŞAHİN BİLGEHAN,ÖZYAR ENİS,YAPRAK GÖKHAN,Özşeker Naciye,KOÇAK UZEL ESENGÜL,Karaman Şule,İĞDEM MEHMET ŞEFİK,SELEK UĞUR,DİNÇBAŞ HİDAYET FAZİLET,ŞENGÖZ KAZIM MERİÇ,YÜCEL BİRSEN,DEMİRAL AYŞE NUR,AKYÜREK SERAP (2018).  Medically Inoperable Early-Stage Lung Cancer Treated with Stereotactic Ablative Radiation Therapy (SABR): Multicenter Study of Turkish Radiation Oncology Group (TROG).  International Journal of Radiation OncologyBiologyPhysics, 102(3), 671-672</w:t>
            </w:r>
            <w:proofErr w:type="gramStart"/>
            <w:r>
              <w:rPr>
                <w:rFonts w:ascii="Verdana" w:eastAsia="Verdana" w:hAnsi="Verdana" w:cs="Verdana"/>
                <w:sz w:val="18"/>
              </w:rPr>
              <w:t>.,</w:t>
            </w:r>
            <w:proofErr w:type="gramEnd"/>
            <w:r>
              <w:rPr>
                <w:rFonts w:ascii="Verdana" w:eastAsia="Verdana" w:hAnsi="Verdana" w:cs="Verdana"/>
                <w:sz w:val="18"/>
              </w:rPr>
              <w:t xml:space="preserve"> Doi: 10.1016/j.ijrobp.2018.07.1815 (Yayın No: 4542815)</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2.</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1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Özet, KÜTÜK </w:t>
            </w:r>
            <w:proofErr w:type="gramStart"/>
            <w:r>
              <w:rPr>
                <w:rFonts w:ascii="Verdana" w:eastAsia="Verdana" w:hAnsi="Verdana" w:cs="Verdana"/>
                <w:sz w:val="18"/>
              </w:rPr>
              <w:t>TUĞÇE,AKYÜREK</w:t>
            </w:r>
            <w:proofErr w:type="gramEnd"/>
            <w:r>
              <w:rPr>
                <w:rFonts w:ascii="Verdana" w:eastAsia="Verdana" w:hAnsi="Verdana" w:cs="Verdana"/>
                <w:sz w:val="18"/>
              </w:rPr>
              <w:t xml:space="preserve"> SERAP,BİLLUR DENİZ,BAYRAM PINAR,DOĞAN İHSAN,BOZKURT MELİH,CAN BELGİN,GÖKÇE ŞABAN ÇAKIR (2018).  The Impact of Tianeptine in the Prevention of Radiation-Induced Neurogenesis Inhibition.  International Journal of Radiation OncologyBiologyPhysics, 102(3), 168, Doi: 10.1016/j.ijrobp.2018.07.637 (Yayın No: 4625450)</w:t>
            </w: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3.</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120" w:type="dxa"/>
            <w:gridSpan w:val="2"/>
          </w:tcPr>
          <w:p w:rsidR="007C3995" w:rsidRDefault="007C3995">
            <w:pPr>
              <w:pStyle w:val="EMPTYCELLSTYLE"/>
            </w:pPr>
          </w:p>
        </w:tc>
        <w:tc>
          <w:tcPr>
            <w:tcW w:w="280" w:type="dxa"/>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20" w:type="dxa"/>
            <w:gridSpan w:val="6"/>
          </w:tcPr>
          <w:p w:rsidR="007C3995" w:rsidRDefault="007C3995">
            <w:pPr>
              <w:pStyle w:val="EMPTYCELLSTYLE"/>
            </w:pPr>
          </w:p>
        </w:tc>
        <w:tc>
          <w:tcPr>
            <w:tcW w:w="20" w:type="dxa"/>
          </w:tcPr>
          <w:p w:rsidR="007C3995" w:rsidRDefault="007C3995">
            <w:pPr>
              <w:pStyle w:val="EMPTYCELLSTYLE"/>
            </w:pPr>
          </w:p>
        </w:tc>
        <w:tc>
          <w:tcPr>
            <w:tcW w:w="1960" w:type="dxa"/>
            <w:gridSpan w:val="8"/>
          </w:tcPr>
          <w:p w:rsidR="007C3995" w:rsidRDefault="007C3995">
            <w:pPr>
              <w:pStyle w:val="EMPTYCELLSTYLE"/>
            </w:pPr>
          </w:p>
        </w:tc>
        <w:tc>
          <w:tcPr>
            <w:tcW w:w="5700" w:type="dxa"/>
            <w:gridSpan w:val="12"/>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6</w:t>
            </w: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ageBreakBefor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040" w:type="dxa"/>
            <w:gridSpan w:val="30"/>
            <w:tcMar>
              <w:top w:w="0" w:type="dxa"/>
              <w:left w:w="0" w:type="dxa"/>
              <w:bottom w:w="0" w:type="dxa"/>
              <w:right w:w="0" w:type="dxa"/>
            </w:tcMar>
          </w:tcPr>
          <w:p w:rsidR="007C3995" w:rsidRDefault="006E65C1">
            <w:r>
              <w:rPr>
                <w:rFonts w:ascii="Verdana" w:eastAsia="Verdana" w:hAnsi="Verdana" w:cs="Verdana"/>
                <w:b/>
                <w:color w:val="666666"/>
                <w:sz w:val="22"/>
              </w:rPr>
              <w:t>Teknik Not, Vaka Takdimi, Araştırma notu vb.</w:t>
            </w: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Editöre Mektup, YAVAŞ </w:t>
            </w:r>
            <w:proofErr w:type="gramStart"/>
            <w:r>
              <w:rPr>
                <w:rFonts w:ascii="Verdana" w:eastAsia="Verdana" w:hAnsi="Verdana" w:cs="Verdana"/>
                <w:sz w:val="18"/>
              </w:rPr>
              <w:t>GÜLER,YAVAŞ</w:t>
            </w:r>
            <w:proofErr w:type="gramEnd"/>
            <w:r>
              <w:rPr>
                <w:rFonts w:ascii="Verdana" w:eastAsia="Verdana" w:hAnsi="Verdana" w:cs="Verdana"/>
                <w:sz w:val="18"/>
              </w:rPr>
              <w:t xml:space="preserve"> ÇAĞDAŞ,AKYÜREK SERAP (2018).  Comment on “Serum human epididymis protein 4 is associated with the treatment response of concurrent chemo-radiotherapy and prognosis in patients with locally advanced non-small cell lung cancer” by Lan WG et al</w:t>
            </w:r>
            <w:proofErr w:type="gramStart"/>
            <w:r>
              <w:rPr>
                <w:rFonts w:ascii="Verdana" w:eastAsia="Verdana" w:hAnsi="Verdana" w:cs="Verdana"/>
                <w:sz w:val="18"/>
              </w:rPr>
              <w:t>..</w:t>
            </w:r>
            <w:proofErr w:type="gramEnd"/>
            <w:r>
              <w:rPr>
                <w:rFonts w:ascii="Verdana" w:eastAsia="Verdana" w:hAnsi="Verdana" w:cs="Verdana"/>
                <w:sz w:val="18"/>
              </w:rPr>
              <w:t xml:space="preserve">  Clinical and Translational Oncology, Doi: 10.1007/s12094-017-1775-2 (Yayın No: 3757599)</w:t>
            </w: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4.</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6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1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val="restart"/>
            <w:tcMar>
              <w:top w:w="0" w:type="dxa"/>
              <w:left w:w="0" w:type="dxa"/>
              <w:bottom w:w="0" w:type="dxa"/>
              <w:right w:w="0" w:type="dxa"/>
            </w:tcMar>
          </w:tcPr>
          <w:p w:rsidR="007C3995" w:rsidRDefault="006E65C1">
            <w:pPr>
              <w:jc w:val="both"/>
            </w:pPr>
            <w:r>
              <w:rPr>
                <w:rFonts w:ascii="Verdana" w:eastAsia="Verdana" w:hAnsi="Verdana" w:cs="Verdana"/>
                <w:sz w:val="18"/>
              </w:rPr>
              <w:t xml:space="preserve">Vaka Takdimi, soydal </w:t>
            </w:r>
            <w:proofErr w:type="gramStart"/>
            <w:r>
              <w:rPr>
                <w:rFonts w:ascii="Verdana" w:eastAsia="Verdana" w:hAnsi="Verdana" w:cs="Verdana"/>
                <w:sz w:val="18"/>
              </w:rPr>
              <w:t>cigdem,ozkan</w:t>
            </w:r>
            <w:proofErr w:type="gramEnd"/>
            <w:r>
              <w:rPr>
                <w:rFonts w:ascii="Verdana" w:eastAsia="Verdana" w:hAnsi="Verdana" w:cs="Verdana"/>
                <w:sz w:val="18"/>
              </w:rPr>
              <w:t xml:space="preserve"> elgin,AKYÜREK SERAP,kucuk ozlem (2016).  Marked Response to 177Lu Prostate Specific Membrane Antigen Treatment in Patient With Metastatic Prostate Cancer.  Clinical Nuclear Medicine, 41(2), 159-160</w:t>
            </w:r>
            <w:proofErr w:type="gramStart"/>
            <w:r>
              <w:rPr>
                <w:rFonts w:ascii="Verdana" w:eastAsia="Verdana" w:hAnsi="Verdana" w:cs="Verdana"/>
                <w:sz w:val="18"/>
              </w:rPr>
              <w:t>.,</w:t>
            </w:r>
            <w:proofErr w:type="gramEnd"/>
            <w:r>
              <w:rPr>
                <w:rFonts w:ascii="Verdana" w:eastAsia="Verdana" w:hAnsi="Verdana" w:cs="Verdana"/>
                <w:sz w:val="18"/>
              </w:rPr>
              <w:t xml:space="preserve"> Doi: 10.1097/RLU.0000000000001058 (Yayın No: 1884103)</w:t>
            </w: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8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Mar>
              <w:top w:w="0" w:type="dxa"/>
              <w:left w:w="0" w:type="dxa"/>
              <w:bottom w:w="0" w:type="dxa"/>
              <w:right w:w="40" w:type="dxa"/>
            </w:tcMar>
          </w:tcPr>
          <w:p w:rsidR="007C3995" w:rsidRDefault="006E65C1">
            <w:pPr>
              <w:jc w:val="center"/>
            </w:pPr>
            <w:r>
              <w:rPr>
                <w:rFonts w:ascii="Verdana" w:eastAsia="Verdana" w:hAnsi="Verdana" w:cs="Verdana"/>
                <w:sz w:val="18"/>
              </w:rPr>
              <w:t>5.</w:t>
            </w: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9000" w:type="dxa"/>
            <w:gridSpan w:val="23"/>
            <w:vMerge/>
            <w:tcMar>
              <w:top w:w="0" w:type="dxa"/>
              <w:left w:w="0" w:type="dxa"/>
              <w:bottom w:w="0" w:type="dxa"/>
              <w:right w:w="0" w:type="dxa"/>
            </w:tcMar>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1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3900" w:type="dxa"/>
            <w:gridSpan w:val="18"/>
            <w:tcMar>
              <w:top w:w="0" w:type="dxa"/>
              <w:left w:w="0" w:type="dxa"/>
              <w:bottom w:w="0" w:type="dxa"/>
              <w:right w:w="0" w:type="dxa"/>
            </w:tcMar>
          </w:tcPr>
          <w:p w:rsidR="007C3995" w:rsidRDefault="006E65C1">
            <w:r>
              <w:rPr>
                <w:rFonts w:ascii="Verdana" w:eastAsia="Verdana" w:hAnsi="Verdana" w:cs="Verdana"/>
                <w:b/>
                <w:color w:val="666666"/>
                <w:sz w:val="22"/>
              </w:rPr>
              <w:t>Üniversite Dışı Deneyim</w:t>
            </w: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280" w:type="dxa"/>
            <w:gridSpan w:val="9"/>
            <w:vMerge w:val="restart"/>
            <w:tcMar>
              <w:top w:w="0" w:type="dxa"/>
              <w:left w:w="0" w:type="dxa"/>
              <w:bottom w:w="0" w:type="dxa"/>
              <w:right w:w="0" w:type="dxa"/>
            </w:tcMar>
            <w:vAlign w:val="center"/>
          </w:tcPr>
          <w:p w:rsidR="007C3995" w:rsidRDefault="006E65C1">
            <w:r>
              <w:rPr>
                <w:rFonts w:ascii="Verdana" w:eastAsia="Verdana" w:hAnsi="Verdana" w:cs="Verdana"/>
                <w:sz w:val="18"/>
              </w:rPr>
              <w:t>2005-2006</w:t>
            </w:r>
          </w:p>
        </w:tc>
        <w:tc>
          <w:tcPr>
            <w:tcW w:w="2000" w:type="dxa"/>
            <w:gridSpan w:val="8"/>
            <w:vMerge w:val="restart"/>
            <w:tcMar>
              <w:top w:w="0" w:type="dxa"/>
              <w:left w:w="0" w:type="dxa"/>
              <w:bottom w:w="0" w:type="dxa"/>
              <w:right w:w="0" w:type="dxa"/>
            </w:tcMar>
            <w:vAlign w:val="center"/>
          </w:tcPr>
          <w:p w:rsidR="007C3995" w:rsidRDefault="006E65C1">
            <w:r>
              <w:rPr>
                <w:rFonts w:ascii="Verdana" w:eastAsia="Verdana" w:hAnsi="Verdana" w:cs="Verdana"/>
                <w:b/>
                <w:sz w:val="16"/>
              </w:rPr>
              <w:t>NCI/NIH bursiyeri fellow</w:t>
            </w: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76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280" w:type="dxa"/>
            <w:gridSpan w:val="9"/>
            <w:vMerge/>
            <w:tcMar>
              <w:top w:w="0" w:type="dxa"/>
              <w:left w:w="0" w:type="dxa"/>
              <w:bottom w:w="0" w:type="dxa"/>
              <w:right w:w="0" w:type="dxa"/>
            </w:tcMar>
            <w:vAlign w:val="center"/>
          </w:tcPr>
          <w:p w:rsidR="007C3995" w:rsidRDefault="007C3995">
            <w:pPr>
              <w:pStyle w:val="EMPTYCELLSTYLE"/>
            </w:pPr>
          </w:p>
        </w:tc>
        <w:tc>
          <w:tcPr>
            <w:tcW w:w="2000" w:type="dxa"/>
            <w:gridSpan w:val="8"/>
            <w:vMerge/>
            <w:tcMar>
              <w:top w:w="0" w:type="dxa"/>
              <w:left w:w="0" w:type="dxa"/>
              <w:bottom w:w="0" w:type="dxa"/>
              <w:right w:w="0" w:type="dxa"/>
            </w:tcMar>
            <w:vAlign w:val="center"/>
          </w:tcPr>
          <w:p w:rsidR="007C3995" w:rsidRDefault="007C3995">
            <w:pPr>
              <w:pStyle w:val="EMPTYCELLSTYLE"/>
            </w:pPr>
          </w:p>
        </w:tc>
        <w:tc>
          <w:tcPr>
            <w:tcW w:w="7080" w:type="dxa"/>
            <w:gridSpan w:val="17"/>
            <w:tcMar>
              <w:top w:w="0" w:type="dxa"/>
              <w:left w:w="0" w:type="dxa"/>
              <w:bottom w:w="0" w:type="dxa"/>
              <w:right w:w="0" w:type="dxa"/>
            </w:tcMar>
            <w:vAlign w:val="center"/>
          </w:tcPr>
          <w:p w:rsidR="007C3995" w:rsidRDefault="006E65C1">
            <w:r>
              <w:rPr>
                <w:rFonts w:ascii="Verdana" w:eastAsia="Verdana" w:hAnsi="Verdana" w:cs="Verdana"/>
                <w:sz w:val="18"/>
              </w:rPr>
              <w:t xml:space="preserve">MD Anderson Kanser Merkezi, Araştırmacı </w:t>
            </w:r>
            <w:proofErr w:type="gramStart"/>
            <w:r>
              <w:rPr>
                <w:rFonts w:ascii="Verdana" w:eastAsia="Verdana" w:hAnsi="Verdana" w:cs="Verdana"/>
                <w:sz w:val="18"/>
              </w:rPr>
              <w:t>doktor</w:t>
            </w:r>
            <w:proofErr w:type="gramEnd"/>
            <w:r>
              <w:rPr>
                <w:rFonts w:ascii="Verdana" w:eastAsia="Verdana" w:hAnsi="Verdana" w:cs="Verdana"/>
                <w:sz w:val="18"/>
              </w:rPr>
              <w:t>, (Hastane)</w:t>
            </w: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20"/>
        </w:trPr>
        <w:tc>
          <w:tcPr>
            <w:tcW w:w="400" w:type="dxa"/>
          </w:tcPr>
          <w:p w:rsidR="007C3995" w:rsidRDefault="007C3995">
            <w:pPr>
              <w:pStyle w:val="EMPTYCELLSTYLE"/>
            </w:pPr>
          </w:p>
        </w:tc>
        <w:tc>
          <w:tcPr>
            <w:tcW w:w="10700" w:type="dxa"/>
            <w:gridSpan w:val="35"/>
            <w:tcMar>
              <w:top w:w="0" w:type="dxa"/>
              <w:left w:w="0" w:type="dxa"/>
              <w:bottom w:w="0" w:type="dxa"/>
              <w:right w:w="0" w:type="dxa"/>
            </w:tcMar>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320"/>
        </w:trPr>
        <w:tc>
          <w:tcPr>
            <w:tcW w:w="400" w:type="dxa"/>
          </w:tcPr>
          <w:p w:rsidR="007C3995" w:rsidRDefault="007C3995">
            <w:pPr>
              <w:pStyle w:val="EMPTYCELLSTYLE"/>
            </w:pPr>
          </w:p>
        </w:tc>
        <w:tc>
          <w:tcPr>
            <w:tcW w:w="10700" w:type="dxa"/>
            <w:gridSpan w:val="35"/>
            <w:tcMar>
              <w:top w:w="0" w:type="dxa"/>
              <w:left w:w="0" w:type="dxa"/>
              <w:bottom w:w="0" w:type="dxa"/>
              <w:right w:w="0" w:type="dxa"/>
            </w:tcMar>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1042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1340" w:type="dxa"/>
            <w:gridSpan w:val="3"/>
          </w:tcPr>
          <w:p w:rsidR="007C3995" w:rsidRDefault="007C3995">
            <w:pPr>
              <w:pStyle w:val="EMPTYCELLSTYLE"/>
            </w:pPr>
          </w:p>
        </w:tc>
        <w:tc>
          <w:tcPr>
            <w:tcW w:w="260" w:type="dxa"/>
            <w:gridSpan w:val="3"/>
          </w:tcPr>
          <w:p w:rsidR="007C3995" w:rsidRDefault="007C3995">
            <w:pPr>
              <w:pStyle w:val="EMPTYCELLSTYLE"/>
            </w:pPr>
          </w:p>
        </w:tc>
        <w:tc>
          <w:tcPr>
            <w:tcW w:w="60" w:type="dxa"/>
          </w:tcPr>
          <w:p w:rsidR="007C3995" w:rsidRDefault="007C3995">
            <w:pPr>
              <w:pStyle w:val="EMPTYCELLSTYLE"/>
            </w:pPr>
          </w:p>
        </w:tc>
        <w:tc>
          <w:tcPr>
            <w:tcW w:w="340" w:type="dxa"/>
            <w:gridSpan w:val="2"/>
          </w:tcPr>
          <w:p w:rsidR="007C3995" w:rsidRDefault="007C3995">
            <w:pPr>
              <w:pStyle w:val="EMPTYCELLSTYLE"/>
            </w:pPr>
          </w:p>
        </w:tc>
        <w:tc>
          <w:tcPr>
            <w:tcW w:w="400" w:type="dxa"/>
          </w:tcPr>
          <w:p w:rsidR="007C3995" w:rsidRDefault="007C3995">
            <w:pPr>
              <w:pStyle w:val="EMPTYCELLSTYLE"/>
            </w:pPr>
          </w:p>
        </w:tc>
      </w:tr>
      <w:tr w:rsidR="007C3995">
        <w:trPr>
          <w:trHeight w:hRule="exact" w:val="400"/>
        </w:trPr>
        <w:tc>
          <w:tcPr>
            <w:tcW w:w="400" w:type="dxa"/>
          </w:tcPr>
          <w:p w:rsidR="007C3995" w:rsidRDefault="007C3995">
            <w:pPr>
              <w:pStyle w:val="EMPTYCELLSTYLE"/>
            </w:pPr>
          </w:p>
        </w:tc>
        <w:tc>
          <w:tcPr>
            <w:tcW w:w="400" w:type="dxa"/>
            <w:gridSpan w:val="2"/>
          </w:tcPr>
          <w:p w:rsidR="007C3995" w:rsidRDefault="007C3995">
            <w:pPr>
              <w:pStyle w:val="EMPTYCELLSTYLE"/>
            </w:pPr>
          </w:p>
        </w:tc>
        <w:tc>
          <w:tcPr>
            <w:tcW w:w="1040" w:type="dxa"/>
            <w:gridSpan w:val="7"/>
          </w:tcPr>
          <w:p w:rsidR="007C3995" w:rsidRDefault="007C3995">
            <w:pPr>
              <w:pStyle w:val="EMPTYCELLSTYLE"/>
            </w:pPr>
          </w:p>
        </w:tc>
        <w:tc>
          <w:tcPr>
            <w:tcW w:w="240" w:type="dxa"/>
            <w:gridSpan w:val="2"/>
          </w:tcPr>
          <w:p w:rsidR="007C3995" w:rsidRDefault="007C3995">
            <w:pPr>
              <w:pStyle w:val="EMPTYCELLSTYLE"/>
            </w:pPr>
          </w:p>
        </w:tc>
        <w:tc>
          <w:tcPr>
            <w:tcW w:w="2000" w:type="dxa"/>
            <w:gridSpan w:val="8"/>
          </w:tcPr>
          <w:p w:rsidR="007C3995" w:rsidRDefault="007C3995">
            <w:pPr>
              <w:pStyle w:val="EMPTYCELLSTYLE"/>
            </w:pPr>
          </w:p>
        </w:tc>
        <w:tc>
          <w:tcPr>
            <w:tcW w:w="620" w:type="dxa"/>
          </w:tcPr>
          <w:p w:rsidR="007C3995" w:rsidRDefault="007C3995">
            <w:pPr>
              <w:pStyle w:val="EMPTYCELLSTYLE"/>
            </w:pPr>
          </w:p>
        </w:tc>
        <w:tc>
          <w:tcPr>
            <w:tcW w:w="4800" w:type="dxa"/>
            <w:gridSpan w:val="9"/>
          </w:tcPr>
          <w:p w:rsidR="007C3995" w:rsidRDefault="007C3995">
            <w:pPr>
              <w:pStyle w:val="EMPTYCELLSTYLE"/>
            </w:pPr>
          </w:p>
        </w:tc>
        <w:tc>
          <w:tcPr>
            <w:tcW w:w="2000" w:type="dxa"/>
            <w:gridSpan w:val="9"/>
            <w:tcMar>
              <w:top w:w="0" w:type="dxa"/>
              <w:left w:w="0" w:type="dxa"/>
              <w:bottom w:w="0" w:type="dxa"/>
              <w:right w:w="0" w:type="dxa"/>
            </w:tcMar>
          </w:tcPr>
          <w:p w:rsidR="007C3995" w:rsidRDefault="006E65C1">
            <w:pPr>
              <w:jc w:val="right"/>
            </w:pPr>
            <w:r>
              <w:t>7</w:t>
            </w:r>
          </w:p>
        </w:tc>
        <w:tc>
          <w:tcPr>
            <w:tcW w:w="400" w:type="dxa"/>
          </w:tcPr>
          <w:p w:rsidR="007C3995" w:rsidRDefault="007C3995">
            <w:pPr>
              <w:pStyle w:val="EMPTYCELLSTYLE"/>
            </w:pPr>
          </w:p>
        </w:tc>
      </w:tr>
    </w:tbl>
    <w:p w:rsidR="006E65C1" w:rsidRDefault="006E65C1"/>
    <w:sectPr w:rsidR="006E65C1" w:rsidSect="00332E19">
      <w:pgSz w:w="11900" w:h="16840"/>
      <w:pgMar w:top="0" w:right="0" w:bottom="0" w:left="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80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5"/>
    <w:rsid w:val="001E09BB"/>
    <w:rsid w:val="00332E19"/>
    <w:rsid w:val="003352A5"/>
    <w:rsid w:val="00622A8D"/>
    <w:rsid w:val="00672D8D"/>
    <w:rsid w:val="006E65C1"/>
    <w:rsid w:val="007C39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B986"/>
  <w15:docId w15:val="{CD24B3E3-D369-475B-A97F-C57E7E339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E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MPTYCELLSTYLE">
    <w:name w:val="EMPTY_CELL_STYLE"/>
    <w:qFormat/>
    <w:rsid w:val="00332E19"/>
    <w:rPr>
      <w:sz w:val="1"/>
    </w:rPr>
  </w:style>
  <w:style w:type="paragraph" w:customStyle="1" w:styleId="table">
    <w:name w:val="table"/>
    <w:qFormat/>
    <w:rsid w:val="00332E19"/>
  </w:style>
  <w:style w:type="paragraph" w:customStyle="1" w:styleId="tableTH">
    <w:name w:val="table_TH"/>
    <w:qFormat/>
    <w:rsid w:val="00332E19"/>
  </w:style>
  <w:style w:type="paragraph" w:customStyle="1" w:styleId="tableCH">
    <w:name w:val="table_CH"/>
    <w:qFormat/>
    <w:rsid w:val="00332E19"/>
  </w:style>
  <w:style w:type="paragraph" w:customStyle="1" w:styleId="tableTD">
    <w:name w:val="table_TD"/>
    <w:qFormat/>
    <w:rsid w:val="00332E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4518</Words>
  <Characters>25757</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2024-05-31T07:57:00Z</dcterms:created>
  <dcterms:modified xsi:type="dcterms:W3CDTF">2024-05-31T07:57:00Z</dcterms:modified>
</cp:coreProperties>
</file>