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79C83" w14:textId="77777777" w:rsidR="00251DB3" w:rsidRDefault="005650DC">
      <w:pPr>
        <w:pStyle w:val="GvdeMetni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3C7D3131">
          <v:group id="_x0000_s1026" alt="" style="width:506pt;height:132.8pt;mso-position-horizontal-relative:char;mso-position-vertical-relative:line" coordsize="10120,2656">
            <v:rect id="_x0000_s1027" alt="" style="position:absolute;left:20;top:20;width:10080;height:2616" filled="f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3856;top:2129;width:5940;height:282;mso-wrap-style:square;v-text-anchor:top" filled="f" stroked="f">
              <v:textbox style="mso-next-textbox:#_x0000_s1028" inset="0,0,0,0">
                <w:txbxContent>
                  <w:p w14:paraId="5A1ABA0C" w14:textId="77777777" w:rsidR="00561BA5" w:rsidRDefault="00561BA5">
                    <w:pPr>
                      <w:spacing w:before="4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29" type="#_x0000_t202" alt="" style="position:absolute;left:6664;top:1565;width:3266;height:563;mso-wrap-style:square;v-text-anchor:top" filled="f" stroked="f">
              <v:textbox style="mso-next-textbox:#_x0000_s1029" inset="0,0,0,0">
                <w:txbxContent>
                  <w:p w14:paraId="1C7AD296" w14:textId="77777777" w:rsidR="0066676F" w:rsidRPr="00AD362C" w:rsidRDefault="0066676F" w:rsidP="0066676F">
                    <w:pPr>
                      <w:spacing w:before="4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Office hours</w:t>
                    </w:r>
                    <w:r>
                      <w:rPr>
                        <w:b/>
                        <w:bCs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 xml:space="preserve">: Tue 10:00-11:00 </w:t>
                    </w:r>
                  </w:p>
                  <w:p w14:paraId="2EED7B91" w14:textId="77777777" w:rsidR="0066676F" w:rsidRDefault="0066676F" w:rsidP="0066676F">
                    <w:pPr>
                      <w:spacing w:before="5"/>
                      <w:ind w:left="1406"/>
                    </w:pPr>
                    <w:r>
                      <w:rPr>
                        <w:w w:val="105"/>
                      </w:rPr>
                      <w:t xml:space="preserve">   F     10:00-11:00</w:t>
                    </w:r>
                  </w:p>
                  <w:p w14:paraId="4044D893" w14:textId="7487E576" w:rsidR="00561BA5" w:rsidRDefault="00561BA5" w:rsidP="005D5D1B">
                    <w:pPr>
                      <w:spacing w:before="5"/>
                      <w:ind w:left="140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pm</w:t>
                    </w:r>
                  </w:p>
                </w:txbxContent>
              </v:textbox>
            </v:shape>
            <v:shape id="_x0000_s1030" type="#_x0000_t202" alt="" style="position:absolute;left:183;top:1565;width:5881;height:282;mso-wrap-style:square;v-text-anchor:top" filled="f" stroked="f">
              <v:textbox style="mso-next-textbox:#_x0000_s1030" inset="0,0,0,0">
                <w:txbxContent>
                  <w:p w14:paraId="1399A920" w14:textId="77777777" w:rsidR="00561BA5" w:rsidRDefault="005650DC">
                    <w:pPr>
                      <w:tabs>
                        <w:tab w:val="left" w:pos="2476"/>
                      </w:tabs>
                      <w:spacing w:before="4"/>
                      <w:rPr>
                        <w:sz w:val="24"/>
                      </w:rPr>
                    </w:pPr>
                    <w:hyperlink r:id="rId7">
                      <w:r w:rsidR="00561BA5">
                        <w:rPr>
                          <w:color w:val="0000FF"/>
                          <w:w w:val="105"/>
                          <w:sz w:val="24"/>
                          <w:u w:val="single" w:color="0000FF"/>
                        </w:rPr>
                        <w:t>gkati@ankara.edu.tr</w:t>
                      </w:r>
                    </w:hyperlink>
                    <w:r w:rsidR="00561BA5">
                      <w:rPr>
                        <w:color w:val="0000FF"/>
                        <w:w w:val="105"/>
                        <w:sz w:val="24"/>
                      </w:rPr>
                      <w:tab/>
                    </w:r>
                    <w:r w:rsidR="00561BA5">
                      <w:rPr>
                        <w:w w:val="105"/>
                        <w:sz w:val="24"/>
                      </w:rPr>
                      <w:t>314 Western Languages</w:t>
                    </w:r>
                    <w:r w:rsidR="00561BA5">
                      <w:rPr>
                        <w:spacing w:val="-16"/>
                        <w:w w:val="105"/>
                        <w:sz w:val="24"/>
                      </w:rPr>
                      <w:t xml:space="preserve"> </w:t>
                    </w:r>
                    <w:r w:rsidR="00561BA5">
                      <w:rPr>
                        <w:w w:val="105"/>
                        <w:sz w:val="24"/>
                      </w:rPr>
                      <w:t>Building</w:t>
                    </w:r>
                  </w:p>
                </w:txbxContent>
              </v:textbox>
            </v:shape>
            <v:shape id="_x0000_s1031" type="#_x0000_t202" alt="" style="position:absolute;left:1549;top:110;width:7039;height:1175;mso-wrap-style:square;v-text-anchor:top" filled="f" stroked="f">
              <v:textbox style="mso-next-textbox:#_x0000_s1031" inset="0,0,0,0">
                <w:txbxContent>
                  <w:p w14:paraId="7B4E790C" w14:textId="464D77CA" w:rsidR="00561BA5" w:rsidRPr="00351C46" w:rsidRDefault="00561BA5" w:rsidP="00351C46">
                    <w:pPr>
                      <w:spacing w:before="10"/>
                      <w:jc w:val="center"/>
                      <w:rPr>
                        <w:rFonts w:ascii="Algerian" w:hAnsi="Algerian"/>
                        <w:b/>
                        <w:sz w:val="19"/>
                      </w:rPr>
                    </w:pPr>
                    <w:r w:rsidRPr="00351C46">
                      <w:rPr>
                        <w:rFonts w:ascii="Algerian" w:hAnsi="Algerian"/>
                        <w:b/>
                        <w:w w:val="85"/>
                        <w:sz w:val="28"/>
                      </w:rPr>
                      <w:t>AKE</w:t>
                    </w:r>
                    <w:r w:rsidRPr="00351C46">
                      <w:rPr>
                        <w:rFonts w:ascii="Algerian" w:hAnsi="Algerian"/>
                        <w:b/>
                        <w:spacing w:val="-12"/>
                        <w:w w:val="85"/>
                        <w:sz w:val="28"/>
                      </w:rPr>
                      <w:t xml:space="preserve"> </w:t>
                    </w:r>
                    <w:r w:rsidR="008474BB" w:rsidRPr="00351C46">
                      <w:rPr>
                        <w:rFonts w:ascii="Algerian" w:hAnsi="Algerian"/>
                        <w:b/>
                        <w:w w:val="85"/>
                        <w:sz w:val="28"/>
                      </w:rPr>
                      <w:t>23</w:t>
                    </w:r>
                    <w:r w:rsidR="00351C46" w:rsidRPr="00351C46">
                      <w:rPr>
                        <w:rFonts w:ascii="Algerian" w:hAnsi="Algerian"/>
                        <w:b/>
                        <w:w w:val="85"/>
                        <w:sz w:val="28"/>
                      </w:rPr>
                      <w:t>3</w:t>
                    </w:r>
                    <w:r w:rsidR="008474BB" w:rsidRPr="00351C46">
                      <w:rPr>
                        <w:rFonts w:ascii="Algerian" w:hAnsi="Algerian"/>
                        <w:b/>
                        <w:w w:val="85"/>
                        <w:sz w:val="28"/>
                      </w:rPr>
                      <w:t xml:space="preserve"> NARRATIVES ACROSS CULTURES</w:t>
                    </w:r>
                    <w:r w:rsidR="00351C46" w:rsidRPr="00351C46">
                      <w:rPr>
                        <w:rFonts w:ascii="Algerian" w:hAnsi="Algerian"/>
                        <w:b/>
                        <w:w w:val="85"/>
                        <w:sz w:val="28"/>
                      </w:rPr>
                      <w:t xml:space="preserve"> I</w:t>
                    </w:r>
                  </w:p>
                  <w:p w14:paraId="4D1B5F82" w14:textId="2993AACD" w:rsidR="00B252D5" w:rsidRPr="00351C46" w:rsidRDefault="00561BA5" w:rsidP="00AD362C">
                    <w:pPr>
                      <w:tabs>
                        <w:tab w:val="left" w:pos="2767"/>
                      </w:tabs>
                      <w:spacing w:line="244" w:lineRule="auto"/>
                      <w:ind w:left="1327" w:right="1216"/>
                      <w:jc w:val="center"/>
                      <w:rPr>
                        <w:rFonts w:ascii="Algerian" w:hAnsi="Algerian"/>
                        <w:b/>
                        <w:spacing w:val="-32"/>
                        <w:sz w:val="19"/>
                      </w:rPr>
                    </w:pPr>
                    <w:r w:rsidRPr="00351C46">
                      <w:rPr>
                        <w:rFonts w:ascii="Algerian" w:hAnsi="Algerian"/>
                        <w:b/>
                        <w:sz w:val="24"/>
                      </w:rPr>
                      <w:t>FALL</w:t>
                    </w:r>
                    <w:r w:rsidR="00B252D5" w:rsidRPr="00351C46">
                      <w:rPr>
                        <w:rFonts w:ascii="Algerian" w:hAnsi="Algerian"/>
                        <w:b/>
                        <w:sz w:val="24"/>
                      </w:rPr>
                      <w:t xml:space="preserve"> </w:t>
                    </w:r>
                    <w:r w:rsidRPr="00351C46">
                      <w:rPr>
                        <w:rFonts w:ascii="Algerian" w:hAnsi="Algerian"/>
                        <w:b/>
                        <w:spacing w:val="-50"/>
                        <w:sz w:val="24"/>
                      </w:rPr>
                      <w:t xml:space="preserve"> </w:t>
                    </w:r>
                    <w:r w:rsidR="00B252D5" w:rsidRPr="00351C46">
                      <w:rPr>
                        <w:rFonts w:ascii="Algerian" w:hAnsi="Algerian"/>
                        <w:b/>
                        <w:sz w:val="24"/>
                      </w:rPr>
                      <w:t>202</w:t>
                    </w:r>
                    <w:r w:rsidR="00092872">
                      <w:rPr>
                        <w:rFonts w:ascii="Algerian" w:hAnsi="Algerian"/>
                        <w:b/>
                        <w:sz w:val="24"/>
                      </w:rPr>
                      <w:t>4</w:t>
                    </w:r>
                    <w:r w:rsidRPr="00351C46">
                      <w:rPr>
                        <w:rFonts w:ascii="Algerian" w:hAnsi="Algerian"/>
                        <w:b/>
                        <w:sz w:val="24"/>
                      </w:rPr>
                      <w:tab/>
                    </w:r>
                    <w:r w:rsidR="0066676F">
                      <w:rPr>
                        <w:rFonts w:ascii="Algerian" w:hAnsi="Algerian"/>
                        <w:b/>
                        <w:sz w:val="24"/>
                      </w:rPr>
                      <w:t>F</w:t>
                    </w:r>
                    <w:r w:rsidRPr="00351C46">
                      <w:rPr>
                        <w:rFonts w:ascii="Algerian" w:hAnsi="Algerian"/>
                        <w:b/>
                        <w:spacing w:val="-41"/>
                        <w:sz w:val="24"/>
                      </w:rPr>
                      <w:t xml:space="preserve"> </w:t>
                    </w:r>
                    <w:r w:rsidR="00622DFE" w:rsidRPr="00351C46">
                      <w:rPr>
                        <w:rFonts w:ascii="Algerian" w:hAnsi="Algerian"/>
                        <w:b/>
                        <w:spacing w:val="-41"/>
                        <w:sz w:val="24"/>
                      </w:rPr>
                      <w:t xml:space="preserve"> </w:t>
                    </w:r>
                    <w:r w:rsidRPr="00351C46">
                      <w:rPr>
                        <w:rFonts w:ascii="Algerian" w:hAnsi="Algerian"/>
                        <w:b/>
                        <w:sz w:val="24"/>
                      </w:rPr>
                      <w:t>1</w:t>
                    </w:r>
                    <w:r w:rsidR="0066676F">
                      <w:rPr>
                        <w:rFonts w:ascii="Algerian" w:hAnsi="Algerian"/>
                        <w:b/>
                        <w:sz w:val="24"/>
                      </w:rPr>
                      <w:t>3</w:t>
                    </w:r>
                    <w:r w:rsidRPr="00351C46">
                      <w:rPr>
                        <w:rFonts w:ascii="Algerian" w:hAnsi="Algerian"/>
                        <w:b/>
                        <w:sz w:val="24"/>
                      </w:rPr>
                      <w:t>:</w:t>
                    </w:r>
                    <w:r w:rsidR="0066676F">
                      <w:rPr>
                        <w:rFonts w:ascii="Algerian" w:hAnsi="Algerian"/>
                        <w:b/>
                        <w:sz w:val="24"/>
                      </w:rPr>
                      <w:t>1</w:t>
                    </w:r>
                    <w:r w:rsidR="008474BB" w:rsidRPr="00351C46">
                      <w:rPr>
                        <w:rFonts w:ascii="Algerian" w:hAnsi="Algerian"/>
                        <w:b/>
                        <w:sz w:val="24"/>
                      </w:rPr>
                      <w:t>5</w:t>
                    </w:r>
                    <w:r w:rsidR="0066676F">
                      <w:rPr>
                        <w:rFonts w:ascii="Algerian" w:hAnsi="Algerian"/>
                        <w:b/>
                        <w:sz w:val="24"/>
                      </w:rPr>
                      <w:t>-15:3</w:t>
                    </w:r>
                    <w:r w:rsidR="005D5D1B">
                      <w:rPr>
                        <w:rFonts w:ascii="Algerian" w:hAnsi="Algerian"/>
                        <w:b/>
                        <w:sz w:val="24"/>
                      </w:rPr>
                      <w:t>0</w:t>
                    </w:r>
                    <w:r w:rsidR="00351C46" w:rsidRPr="00351C46">
                      <w:rPr>
                        <w:rFonts w:ascii="Algerian" w:hAnsi="Algerian"/>
                        <w:b/>
                        <w:sz w:val="24"/>
                      </w:rPr>
                      <w:t xml:space="preserve"> </w:t>
                    </w:r>
                    <w:r w:rsidRPr="00351C46">
                      <w:rPr>
                        <w:rFonts w:ascii="Algerian" w:hAnsi="Algerian"/>
                        <w:b/>
                        <w:spacing w:val="-42"/>
                        <w:sz w:val="24"/>
                      </w:rPr>
                      <w:t xml:space="preserve"> </w:t>
                    </w:r>
                    <w:r w:rsidR="005D5D1B">
                      <w:rPr>
                        <w:rFonts w:ascii="Algerian" w:hAnsi="Algerian"/>
                        <w:b/>
                        <w:sz w:val="24"/>
                      </w:rPr>
                      <w:t>p</w:t>
                    </w:r>
                    <w:r w:rsidRPr="00351C46">
                      <w:rPr>
                        <w:rFonts w:ascii="Algerian" w:hAnsi="Algerian"/>
                        <w:b/>
                        <w:sz w:val="19"/>
                      </w:rPr>
                      <w:t>M</w:t>
                    </w:r>
                    <w:r w:rsidR="00351C46" w:rsidRPr="00351C46">
                      <w:rPr>
                        <w:rFonts w:ascii="Algerian" w:hAnsi="Algerian"/>
                        <w:b/>
                        <w:sz w:val="19"/>
                      </w:rPr>
                      <w:t xml:space="preserve"> </w:t>
                    </w:r>
                    <w:r w:rsidRPr="00351C46">
                      <w:rPr>
                        <w:rFonts w:ascii="Algerian" w:hAnsi="Algerian"/>
                        <w:b/>
                        <w:spacing w:val="-32"/>
                        <w:sz w:val="19"/>
                      </w:rPr>
                      <w:t xml:space="preserve"> </w:t>
                    </w:r>
                    <w:r w:rsidRPr="00351C46">
                      <w:rPr>
                        <w:rFonts w:ascii="Algerian" w:hAnsi="Algerian"/>
                        <w:b/>
                        <w:sz w:val="24"/>
                      </w:rPr>
                      <w:t>R</w:t>
                    </w:r>
                    <w:r w:rsidRPr="00351C46">
                      <w:rPr>
                        <w:rFonts w:ascii="Algerian" w:hAnsi="Algerian"/>
                        <w:b/>
                        <w:sz w:val="19"/>
                      </w:rPr>
                      <w:t>OOM</w:t>
                    </w:r>
                    <w:r w:rsidR="00AD362C" w:rsidRPr="00351C46">
                      <w:rPr>
                        <w:rFonts w:ascii="Algerian" w:hAnsi="Algerian"/>
                        <w:b/>
                        <w:spacing w:val="-33"/>
                        <w:sz w:val="19"/>
                      </w:rPr>
                      <w:t xml:space="preserve"> </w:t>
                    </w:r>
                    <w:r w:rsidR="008474BB" w:rsidRPr="00351C46">
                      <w:rPr>
                        <w:rFonts w:ascii="Algerian" w:hAnsi="Algerian"/>
                        <w:b/>
                        <w:sz w:val="24"/>
                      </w:rPr>
                      <w:t>6</w:t>
                    </w:r>
                    <w:r w:rsidRPr="00351C46">
                      <w:rPr>
                        <w:rFonts w:ascii="Algerian" w:hAnsi="Algerian"/>
                        <w:b/>
                        <w:w w:val="95"/>
                        <w:sz w:val="24"/>
                      </w:rPr>
                      <w:t xml:space="preserve"> </w:t>
                    </w:r>
                  </w:p>
                  <w:p w14:paraId="0C86C1DD" w14:textId="0F07F4B3" w:rsidR="00561BA5" w:rsidRPr="00351C46" w:rsidRDefault="0066676F">
                    <w:pPr>
                      <w:tabs>
                        <w:tab w:val="left" w:pos="2767"/>
                      </w:tabs>
                      <w:spacing w:line="244" w:lineRule="auto"/>
                      <w:ind w:left="1327" w:right="1342"/>
                      <w:jc w:val="center"/>
                      <w:rPr>
                        <w:rFonts w:ascii="Algerian" w:hAnsi="Algerian"/>
                        <w:b/>
                        <w:sz w:val="24"/>
                      </w:rPr>
                    </w:pPr>
                    <w:r>
                      <w:rPr>
                        <w:rFonts w:ascii="Algerian" w:hAnsi="Algerian"/>
                        <w:b/>
                        <w:sz w:val="24"/>
                      </w:rPr>
                      <w:t>AssOC</w:t>
                    </w:r>
                    <w:r w:rsidR="00351C46" w:rsidRPr="00351C46">
                      <w:rPr>
                        <w:rFonts w:ascii="Algerian" w:hAnsi="Algerian"/>
                        <w:b/>
                        <w:sz w:val="24"/>
                      </w:rPr>
                      <w:t xml:space="preserve">. Prof. </w:t>
                    </w:r>
                    <w:r w:rsidR="00561BA5" w:rsidRPr="00351C46">
                      <w:rPr>
                        <w:rFonts w:ascii="Algerian" w:hAnsi="Algerian"/>
                        <w:b/>
                        <w:sz w:val="24"/>
                      </w:rPr>
                      <w:t>D</w:t>
                    </w:r>
                    <w:r w:rsidR="00561BA5" w:rsidRPr="00351C46">
                      <w:rPr>
                        <w:rFonts w:ascii="Algerian" w:hAnsi="Algerian"/>
                        <w:b/>
                        <w:sz w:val="19"/>
                      </w:rPr>
                      <w:t>R</w:t>
                    </w:r>
                    <w:r w:rsidR="00561BA5" w:rsidRPr="00351C46">
                      <w:rPr>
                        <w:rFonts w:ascii="Algerian" w:hAnsi="Algerian"/>
                        <w:b/>
                        <w:sz w:val="24"/>
                      </w:rPr>
                      <w:t>.</w:t>
                    </w:r>
                    <w:r w:rsidR="00561BA5" w:rsidRPr="00351C46">
                      <w:rPr>
                        <w:rFonts w:ascii="Algerian" w:hAnsi="Algerian"/>
                        <w:b/>
                        <w:spacing w:val="-5"/>
                        <w:sz w:val="24"/>
                      </w:rPr>
                      <w:t xml:space="preserve"> </w:t>
                    </w:r>
                    <w:r w:rsidR="00561BA5" w:rsidRPr="00351C46">
                      <w:rPr>
                        <w:rFonts w:ascii="Algerian" w:hAnsi="Algerian"/>
                        <w:b/>
                        <w:sz w:val="24"/>
                      </w:rPr>
                      <w:t>GAMZE</w:t>
                    </w:r>
                    <w:r w:rsidR="00561BA5" w:rsidRPr="00351C46">
                      <w:rPr>
                        <w:rFonts w:ascii="Algerian" w:hAnsi="Algerian"/>
                        <w:b/>
                        <w:spacing w:val="-33"/>
                        <w:sz w:val="24"/>
                      </w:rPr>
                      <w:t xml:space="preserve"> </w:t>
                    </w:r>
                    <w:r w:rsidR="00561BA5" w:rsidRPr="00351C46">
                      <w:rPr>
                        <w:rFonts w:ascii="Algerian" w:hAnsi="Algerian"/>
                        <w:b/>
                        <w:sz w:val="24"/>
                      </w:rPr>
                      <w:t>KATI</w:t>
                    </w:r>
                    <w:r w:rsidR="00561BA5" w:rsidRPr="00351C46">
                      <w:rPr>
                        <w:rFonts w:ascii="Algerian" w:hAnsi="Algerian"/>
                        <w:b/>
                        <w:spacing w:val="-34"/>
                        <w:sz w:val="24"/>
                      </w:rPr>
                      <w:t xml:space="preserve"> </w:t>
                    </w:r>
                    <w:r w:rsidR="00561BA5" w:rsidRPr="00351C46">
                      <w:rPr>
                        <w:rFonts w:ascii="Algerian" w:hAnsi="Algerian"/>
                        <w:b/>
                        <w:sz w:val="24"/>
                      </w:rPr>
                      <w:t>GÜMÜ</w:t>
                    </w:r>
                    <w:r w:rsidR="00561BA5" w:rsidRPr="00351C46">
                      <w:rPr>
                        <w:rFonts w:ascii="Cambria" w:hAnsi="Cambria" w:cs="Cambria"/>
                        <w:b/>
                        <w:sz w:val="24"/>
                      </w:rPr>
                      <w:t>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81C3391" w14:textId="77777777" w:rsidR="00251DB3" w:rsidRDefault="00251DB3">
      <w:pPr>
        <w:pStyle w:val="GvdeMetni"/>
        <w:spacing w:before="3"/>
        <w:rPr>
          <w:sz w:val="14"/>
        </w:rPr>
      </w:pPr>
    </w:p>
    <w:p w14:paraId="3AEFCAFB" w14:textId="5FB50F27" w:rsidR="00622DFE" w:rsidRPr="00622DFE" w:rsidRDefault="00B5289A">
      <w:pPr>
        <w:pStyle w:val="GvdeMetni"/>
        <w:spacing w:before="90"/>
        <w:ind w:left="120" w:right="106"/>
        <w:jc w:val="both"/>
        <w:rPr>
          <w:bCs/>
        </w:rPr>
      </w:pPr>
      <w:r>
        <w:rPr>
          <w:b/>
        </w:rPr>
        <w:t xml:space="preserve">Course Description and Learning Goals: </w:t>
      </w:r>
      <w:r w:rsidR="00622DFE" w:rsidRPr="00622DFE">
        <w:rPr>
          <w:bCs/>
        </w:rPr>
        <w:t>The aim of this course is to teach different types of narratives from various cultures, with a focus on narratives outside the white American canon. Short stories, novellas, poems, autobiographies and excerpts from fictional works written by Native American, African American and immigrant authors will be examined.</w:t>
      </w:r>
    </w:p>
    <w:p w14:paraId="26ACBA88" w14:textId="77777777" w:rsidR="00251DB3" w:rsidRDefault="00251DB3">
      <w:pPr>
        <w:pStyle w:val="GvdeMetni"/>
        <w:spacing w:before="1"/>
      </w:pPr>
    </w:p>
    <w:p w14:paraId="4B7CB199" w14:textId="1DE98E26" w:rsidR="00251DB3" w:rsidRDefault="00B5289A">
      <w:pPr>
        <w:pStyle w:val="GvdeMetni"/>
        <w:ind w:left="120" w:right="101"/>
        <w:jc w:val="both"/>
      </w:pPr>
      <w:r>
        <w:rPr>
          <w:b/>
        </w:rPr>
        <w:t>Assessment:</w:t>
      </w:r>
      <w:r w:rsidR="004C5172">
        <w:rPr>
          <w:bCs/>
        </w:rPr>
        <w:t xml:space="preserve"> </w:t>
      </w:r>
      <w:r>
        <w:t>I ask that you complete every reading assignment, come to class on time, regularly participate in discussions, and show respect for your peers. I will grade all work on a 0-100 scale and determine your final grade accordingly:</w:t>
      </w:r>
    </w:p>
    <w:p w14:paraId="09B60B49" w14:textId="77777777" w:rsidR="00251DB3" w:rsidRDefault="00251DB3">
      <w:pPr>
        <w:pStyle w:val="GvdeMetni"/>
        <w:spacing w:before="10"/>
      </w:pPr>
    </w:p>
    <w:tbl>
      <w:tblPr>
        <w:tblW w:w="0" w:type="auto"/>
        <w:tblInd w:w="1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724"/>
        <w:gridCol w:w="593"/>
      </w:tblGrid>
      <w:tr w:rsidR="00251DB3" w14:paraId="7B20F39B" w14:textId="77777777" w:rsidTr="00351C46">
        <w:trPr>
          <w:trHeight w:val="385"/>
        </w:trPr>
        <w:tc>
          <w:tcPr>
            <w:tcW w:w="3400" w:type="dxa"/>
          </w:tcPr>
          <w:p w14:paraId="2F0AFB69" w14:textId="77777777" w:rsidR="00251DB3" w:rsidRDefault="00B5289A" w:rsidP="00351C46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Mid-Term Exam</w:t>
            </w:r>
          </w:p>
        </w:tc>
        <w:tc>
          <w:tcPr>
            <w:tcW w:w="3724" w:type="dxa"/>
          </w:tcPr>
          <w:p w14:paraId="535BC462" w14:textId="212D3C1C" w:rsidR="00251DB3" w:rsidRDefault="00351C46" w:rsidP="0066676F">
            <w:pPr>
              <w:pStyle w:val="TableParagraph"/>
              <w:spacing w:line="240" w:lineRule="auto"/>
              <w:ind w:left="302"/>
              <w:rPr>
                <w:sz w:val="24"/>
              </w:rPr>
            </w:pPr>
            <w:r w:rsidRPr="00BC7393">
              <w:rPr>
                <w:sz w:val="24"/>
              </w:rPr>
              <w:t xml:space="preserve">(Nov. </w:t>
            </w:r>
            <w:r w:rsidR="0066676F">
              <w:rPr>
                <w:sz w:val="24"/>
              </w:rPr>
              <w:t>18</w:t>
            </w:r>
            <w:r w:rsidRPr="00BC7393">
              <w:rPr>
                <w:sz w:val="24"/>
              </w:rPr>
              <w:t>-</w:t>
            </w:r>
            <w:r w:rsidR="005D5D1B">
              <w:rPr>
                <w:sz w:val="24"/>
              </w:rPr>
              <w:t>Nov</w:t>
            </w:r>
            <w:r w:rsidRPr="00BC7393">
              <w:rPr>
                <w:sz w:val="24"/>
              </w:rPr>
              <w:t xml:space="preserve">. </w:t>
            </w:r>
            <w:r w:rsidR="005D5D1B">
              <w:rPr>
                <w:sz w:val="24"/>
              </w:rPr>
              <w:t>2</w:t>
            </w:r>
            <w:r w:rsidR="0066676F">
              <w:rPr>
                <w:sz w:val="24"/>
              </w:rPr>
              <w:t>4</w:t>
            </w:r>
            <w:r w:rsidRPr="00BC7393">
              <w:rPr>
                <w:sz w:val="24"/>
              </w:rPr>
              <w:t>)</w:t>
            </w:r>
          </w:p>
        </w:tc>
        <w:tc>
          <w:tcPr>
            <w:tcW w:w="593" w:type="dxa"/>
          </w:tcPr>
          <w:p w14:paraId="0289CA42" w14:textId="463A36AA" w:rsidR="00251DB3" w:rsidRDefault="0066676F" w:rsidP="00351C46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sz w:val="24"/>
              </w:rPr>
              <w:t>4</w:t>
            </w:r>
            <w:r w:rsidR="00351C46">
              <w:rPr>
                <w:sz w:val="24"/>
              </w:rPr>
              <w:t>0</w:t>
            </w:r>
            <w:r w:rsidR="00B5289A">
              <w:rPr>
                <w:sz w:val="24"/>
              </w:rPr>
              <w:t>%</w:t>
            </w:r>
          </w:p>
        </w:tc>
      </w:tr>
      <w:tr w:rsidR="00251DB3" w14:paraId="5AD369F1" w14:textId="77777777" w:rsidTr="00351C46">
        <w:trPr>
          <w:trHeight w:val="205"/>
        </w:trPr>
        <w:tc>
          <w:tcPr>
            <w:tcW w:w="3400" w:type="dxa"/>
          </w:tcPr>
          <w:p w14:paraId="4260BECC" w14:textId="77777777" w:rsidR="005D5D1B" w:rsidRDefault="005D5D1B" w:rsidP="0066676F">
            <w:pPr>
              <w:pStyle w:val="TableParagraph"/>
              <w:spacing w:line="240" w:lineRule="auto"/>
              <w:rPr>
                <w:sz w:val="24"/>
              </w:rPr>
            </w:pPr>
          </w:p>
          <w:p w14:paraId="3A2E72E7" w14:textId="4564AD7F" w:rsidR="00251DB3" w:rsidRDefault="00B5289A" w:rsidP="00351C46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Final Exam</w:t>
            </w:r>
          </w:p>
        </w:tc>
        <w:tc>
          <w:tcPr>
            <w:tcW w:w="3724" w:type="dxa"/>
          </w:tcPr>
          <w:p w14:paraId="385F0596" w14:textId="77777777" w:rsidR="005D5D1B" w:rsidRDefault="005D5D1B" w:rsidP="00351C46">
            <w:pPr>
              <w:pStyle w:val="TableParagraph"/>
              <w:spacing w:line="240" w:lineRule="auto"/>
              <w:ind w:left="302"/>
              <w:rPr>
                <w:sz w:val="24"/>
              </w:rPr>
            </w:pPr>
          </w:p>
          <w:p w14:paraId="22FAE08F" w14:textId="63C0704B" w:rsidR="00251DB3" w:rsidRDefault="00B5289A" w:rsidP="0066676F">
            <w:pPr>
              <w:pStyle w:val="TableParagraph"/>
              <w:spacing w:line="240" w:lineRule="auto"/>
              <w:ind w:left="302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B252D5">
              <w:rPr>
                <w:sz w:val="24"/>
              </w:rPr>
              <w:t xml:space="preserve">January </w:t>
            </w:r>
            <w:r w:rsidR="0066676F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 w:rsidR="00B252D5">
              <w:rPr>
                <w:sz w:val="24"/>
              </w:rPr>
              <w:t>1</w:t>
            </w:r>
            <w:r w:rsidR="0066676F">
              <w:rPr>
                <w:sz w:val="24"/>
              </w:rPr>
              <w:t>9</w:t>
            </w:r>
            <w:r>
              <w:rPr>
                <w:sz w:val="24"/>
              </w:rPr>
              <w:t>)</w:t>
            </w:r>
          </w:p>
        </w:tc>
        <w:tc>
          <w:tcPr>
            <w:tcW w:w="593" w:type="dxa"/>
          </w:tcPr>
          <w:p w14:paraId="5AD2729E" w14:textId="77777777" w:rsidR="005D5D1B" w:rsidRDefault="005D5D1B" w:rsidP="00351C46">
            <w:pPr>
              <w:pStyle w:val="TableParagraph"/>
              <w:spacing w:line="240" w:lineRule="auto"/>
              <w:ind w:right="49"/>
              <w:rPr>
                <w:sz w:val="24"/>
              </w:rPr>
            </w:pPr>
          </w:p>
          <w:p w14:paraId="0D85A339" w14:textId="30662CD3" w:rsidR="00251DB3" w:rsidRDefault="00351C46" w:rsidP="00351C46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sz w:val="24"/>
              </w:rPr>
              <w:t>6</w:t>
            </w:r>
            <w:r w:rsidR="00B252D5">
              <w:rPr>
                <w:sz w:val="24"/>
              </w:rPr>
              <w:t>0</w:t>
            </w:r>
            <w:r w:rsidR="00B5289A">
              <w:rPr>
                <w:sz w:val="24"/>
              </w:rPr>
              <w:t>%</w:t>
            </w:r>
          </w:p>
        </w:tc>
      </w:tr>
    </w:tbl>
    <w:p w14:paraId="7B943124" w14:textId="77777777" w:rsidR="00251DB3" w:rsidRDefault="00251DB3">
      <w:pPr>
        <w:pStyle w:val="GvdeMetni"/>
      </w:pPr>
    </w:p>
    <w:p w14:paraId="7F2E362C" w14:textId="77777777" w:rsidR="00251DB3" w:rsidRDefault="00B5289A">
      <w:pPr>
        <w:pStyle w:val="GvdeMetni"/>
        <w:ind w:left="120" w:right="108"/>
        <w:jc w:val="both"/>
      </w:pPr>
      <w:r>
        <w:t>As challenging as writing can be, clues to participating well in a discussion are more elusive. Especially prized are: active respectful listening to others, building on others’ comments; supporting of points with concrete evidence including specific passages from the readings; willingness to raise vital issues for which you don’t have the answer; and willingness to raise earlier readings and issues in later weeks.</w:t>
      </w:r>
    </w:p>
    <w:p w14:paraId="2AE13F2E" w14:textId="77777777" w:rsidR="00251DB3" w:rsidRDefault="00251DB3">
      <w:pPr>
        <w:pStyle w:val="GvdeMetni"/>
      </w:pPr>
    </w:p>
    <w:p w14:paraId="6D90FDA5" w14:textId="701AA372" w:rsidR="004C5172" w:rsidRDefault="004C5172">
      <w:pPr>
        <w:pStyle w:val="GvdeMetni"/>
        <w:ind w:left="120" w:right="104"/>
        <w:jc w:val="both"/>
        <w:rPr>
          <w:bCs/>
        </w:rPr>
      </w:pPr>
      <w:r>
        <w:rPr>
          <w:b/>
        </w:rPr>
        <w:t>Attendance:</w:t>
      </w:r>
      <w:r w:rsidRPr="004C5172">
        <w:t xml:space="preserve"> </w:t>
      </w:r>
      <w:r>
        <w:t xml:space="preserve">Attendance is mandatory. </w:t>
      </w:r>
      <w:r w:rsidRPr="009D4790">
        <w:rPr>
          <w:bCs/>
        </w:rPr>
        <w:t>You are responsible for all of the material covered in lectures, and therefore you will find it extremely difficult to pass this course without regular attendance. Students</w:t>
      </w:r>
      <w:r>
        <w:rPr>
          <w:bCs/>
        </w:rPr>
        <w:t xml:space="preserve"> </w:t>
      </w:r>
      <w:r w:rsidRPr="009D4790">
        <w:rPr>
          <w:bCs/>
        </w:rPr>
        <w:t>are individually responsible for everything that transpires in class; absence is not a valid excuse</w:t>
      </w:r>
      <w:r>
        <w:rPr>
          <w:bCs/>
        </w:rPr>
        <w:t>.</w:t>
      </w:r>
    </w:p>
    <w:p w14:paraId="0574FFED" w14:textId="77777777" w:rsidR="004C5172" w:rsidRDefault="004C5172">
      <w:pPr>
        <w:pStyle w:val="GvdeMetni"/>
        <w:ind w:left="120" w:right="104"/>
        <w:jc w:val="both"/>
        <w:rPr>
          <w:b/>
        </w:rPr>
      </w:pPr>
    </w:p>
    <w:p w14:paraId="1E4191AB" w14:textId="5F9F8556" w:rsidR="00251DB3" w:rsidRDefault="00B5289A">
      <w:pPr>
        <w:pStyle w:val="GvdeMetni"/>
        <w:ind w:left="120" w:right="104"/>
        <w:jc w:val="both"/>
      </w:pPr>
      <w:r>
        <w:rPr>
          <w:b/>
        </w:rPr>
        <w:t xml:space="preserve">Academic Misconduct: </w:t>
      </w:r>
      <w:r>
        <w:t xml:space="preserve">Should I determine that a student has committed plagiarism on an assignment, cheated on an examination, or assisted others in committing plagiarism or cheating, I will follow University Senate rules and regulations for academic misconduct. Specific examples of plagiarism include: pasting together uncredited information or ideas from on-line or print sources, submitting an entire paper written by someone else, </w:t>
      </w:r>
      <w:r w:rsidR="005D5D1B">
        <w:t xml:space="preserve">using AI, </w:t>
      </w:r>
      <w:r>
        <w:t>and copying another student’s work (even with the student’s permission).</w:t>
      </w:r>
    </w:p>
    <w:p w14:paraId="547E0B50" w14:textId="77777777" w:rsidR="00251DB3" w:rsidRDefault="00251DB3">
      <w:pPr>
        <w:pStyle w:val="GvdeMetni"/>
      </w:pPr>
    </w:p>
    <w:p w14:paraId="300E3039" w14:textId="4C2B2828" w:rsidR="00251DB3" w:rsidRPr="008E07F2" w:rsidRDefault="00251DB3" w:rsidP="004C5172">
      <w:pPr>
        <w:pStyle w:val="GvdeMetni"/>
        <w:rPr>
          <w:b/>
          <w:bCs/>
        </w:rPr>
      </w:pPr>
    </w:p>
    <w:p w14:paraId="2B5CC304" w14:textId="77777777" w:rsidR="00251DB3" w:rsidRDefault="00251DB3">
      <w:pPr>
        <w:pStyle w:val="GvdeMetni"/>
        <w:rPr>
          <w:sz w:val="22"/>
        </w:rPr>
      </w:pPr>
    </w:p>
    <w:p w14:paraId="30947769" w14:textId="77777777" w:rsidR="00622DFE" w:rsidRDefault="00622DFE" w:rsidP="004C5172">
      <w:pPr>
        <w:pStyle w:val="Balk1"/>
        <w:ind w:left="0"/>
      </w:pPr>
    </w:p>
    <w:p w14:paraId="21265251" w14:textId="3E25D720" w:rsidR="00B252D5" w:rsidRDefault="00B252D5">
      <w:pPr>
        <w:pStyle w:val="Balk1"/>
        <w:ind w:left="2280"/>
      </w:pPr>
    </w:p>
    <w:p w14:paraId="4CBABCDE" w14:textId="6DE38734" w:rsidR="00351C46" w:rsidRDefault="00351C46">
      <w:pPr>
        <w:pStyle w:val="Balk1"/>
        <w:ind w:left="2280"/>
      </w:pPr>
    </w:p>
    <w:p w14:paraId="4CC6CB3B" w14:textId="66B9E7A3" w:rsidR="00351C46" w:rsidRDefault="00351C46">
      <w:pPr>
        <w:pStyle w:val="Balk1"/>
        <w:ind w:left="2280"/>
      </w:pPr>
    </w:p>
    <w:p w14:paraId="04F83488" w14:textId="42A237C0" w:rsidR="00351C46" w:rsidRDefault="00351C46">
      <w:pPr>
        <w:pStyle w:val="Balk1"/>
        <w:ind w:left="2280"/>
      </w:pPr>
    </w:p>
    <w:p w14:paraId="64419EA2" w14:textId="77777777" w:rsidR="00351C46" w:rsidRDefault="00351C46">
      <w:pPr>
        <w:pStyle w:val="Balk1"/>
        <w:ind w:left="2280"/>
      </w:pPr>
    </w:p>
    <w:p w14:paraId="0419D108" w14:textId="77777777" w:rsidR="00A670EB" w:rsidRDefault="00A670EB">
      <w:pPr>
        <w:pStyle w:val="Balk1"/>
        <w:ind w:left="2280"/>
      </w:pPr>
    </w:p>
    <w:p w14:paraId="20B22ECC" w14:textId="35D694DE" w:rsidR="00251DB3" w:rsidRDefault="00B5289A">
      <w:pPr>
        <w:pStyle w:val="Balk1"/>
        <w:ind w:left="2280"/>
      </w:pPr>
      <w:r>
        <w:lastRenderedPageBreak/>
        <w:t xml:space="preserve">AKE </w:t>
      </w:r>
      <w:r w:rsidR="00622DFE">
        <w:t>23</w:t>
      </w:r>
      <w:r w:rsidR="00CE320D">
        <w:t>3</w:t>
      </w:r>
      <w:r w:rsidR="00622DFE">
        <w:t xml:space="preserve"> NARRATIVES ACROSS CULTURES</w:t>
      </w:r>
      <w:r>
        <w:t xml:space="preserve"> </w:t>
      </w:r>
      <w:r w:rsidR="00CE320D">
        <w:t xml:space="preserve">I </w:t>
      </w:r>
      <w:r>
        <w:t>SYLLABUS</w:t>
      </w:r>
    </w:p>
    <w:p w14:paraId="5733E26D" w14:textId="2076F409" w:rsidR="00555D54" w:rsidRDefault="00B5289A" w:rsidP="00555D54">
      <w:pPr>
        <w:spacing w:before="2" w:line="550" w:lineRule="atLeast"/>
        <w:ind w:left="120" w:right="3454"/>
        <w:rPr>
          <w:b/>
          <w:sz w:val="24"/>
        </w:rPr>
      </w:pPr>
      <w:r>
        <w:rPr>
          <w:b/>
          <w:sz w:val="24"/>
        </w:rPr>
        <w:t>Week 1</w:t>
      </w:r>
      <w:r w:rsidR="001F45DC">
        <w:rPr>
          <w:b/>
          <w:sz w:val="24"/>
        </w:rPr>
        <w:t xml:space="preserve"> (</w:t>
      </w:r>
      <w:r w:rsidR="0066676F">
        <w:rPr>
          <w:b/>
          <w:sz w:val="24"/>
        </w:rPr>
        <w:t>Sept</w:t>
      </w:r>
      <w:r w:rsidR="001F45DC">
        <w:rPr>
          <w:b/>
          <w:sz w:val="24"/>
        </w:rPr>
        <w:t>.</w:t>
      </w:r>
      <w:r w:rsidR="00555D54">
        <w:rPr>
          <w:b/>
          <w:sz w:val="24"/>
        </w:rPr>
        <w:t xml:space="preserve"> </w:t>
      </w:r>
      <w:r w:rsidR="0066676F">
        <w:rPr>
          <w:b/>
          <w:sz w:val="24"/>
        </w:rPr>
        <w:t>27</w:t>
      </w:r>
      <w:r w:rsidR="001F45DC">
        <w:rPr>
          <w:b/>
          <w:sz w:val="24"/>
        </w:rPr>
        <w:t>)</w:t>
      </w:r>
      <w:r>
        <w:rPr>
          <w:b/>
          <w:sz w:val="24"/>
        </w:rPr>
        <w:t>: Introduction to the course</w:t>
      </w:r>
      <w:r w:rsidR="001F45DC">
        <w:rPr>
          <w:b/>
          <w:sz w:val="24"/>
        </w:rPr>
        <w:t xml:space="preserve"> and the </w:t>
      </w:r>
      <w:r w:rsidR="00555D54">
        <w:rPr>
          <w:b/>
          <w:sz w:val="24"/>
        </w:rPr>
        <w:t>syllabus</w:t>
      </w:r>
    </w:p>
    <w:p w14:paraId="6EBA0061" w14:textId="5E1B59A9" w:rsidR="00251DB3" w:rsidRDefault="00B5289A" w:rsidP="00555D54">
      <w:pPr>
        <w:spacing w:before="2" w:line="550" w:lineRule="atLeast"/>
        <w:ind w:left="120" w:right="3454"/>
        <w:rPr>
          <w:b/>
          <w:sz w:val="24"/>
        </w:rPr>
      </w:pPr>
      <w:r>
        <w:rPr>
          <w:b/>
          <w:sz w:val="24"/>
        </w:rPr>
        <w:t>Week 2</w:t>
      </w:r>
      <w:r w:rsidR="001F45DC">
        <w:rPr>
          <w:b/>
          <w:sz w:val="24"/>
        </w:rPr>
        <w:t xml:space="preserve"> (Oct. </w:t>
      </w:r>
      <w:r w:rsidR="0066676F">
        <w:rPr>
          <w:b/>
          <w:sz w:val="24"/>
        </w:rPr>
        <w:t>4</w:t>
      </w:r>
      <w:r w:rsidR="001F45DC">
        <w:rPr>
          <w:b/>
          <w:sz w:val="24"/>
        </w:rPr>
        <w:t>)</w:t>
      </w:r>
      <w:r>
        <w:rPr>
          <w:b/>
          <w:sz w:val="24"/>
        </w:rPr>
        <w:t xml:space="preserve">: </w:t>
      </w:r>
      <w:r w:rsidR="00622DFE">
        <w:rPr>
          <w:b/>
          <w:sz w:val="24"/>
        </w:rPr>
        <w:t>Native American Narratives</w:t>
      </w:r>
    </w:p>
    <w:p w14:paraId="70AD72E2" w14:textId="65DD218F" w:rsidR="00251DB3" w:rsidRDefault="00555D54">
      <w:pPr>
        <w:pStyle w:val="GvdeMetni"/>
        <w:spacing w:before="3"/>
        <w:ind w:left="120"/>
      </w:pPr>
      <w:r w:rsidRPr="00555D54">
        <w:t xml:space="preserve">Zitkála-Šá </w:t>
      </w:r>
      <w:r>
        <w:t>“</w:t>
      </w:r>
      <w:r w:rsidR="00622DFE">
        <w:t>Dance in a Buffalo Skull</w:t>
      </w:r>
      <w:r>
        <w:t>”</w:t>
      </w:r>
      <w:r w:rsidR="009C06B6">
        <w:t>;</w:t>
      </w:r>
      <w:r w:rsidR="0058022F">
        <w:t xml:space="preserve"> Sherman Alexie “How to write the Great American </w:t>
      </w:r>
      <w:r w:rsidR="0006419B">
        <w:t xml:space="preserve">Indian </w:t>
      </w:r>
      <w:r w:rsidR="0058022F">
        <w:t>Novel”</w:t>
      </w:r>
    </w:p>
    <w:p w14:paraId="491D4CCD" w14:textId="77777777" w:rsidR="00251DB3" w:rsidRDefault="00251DB3">
      <w:pPr>
        <w:pStyle w:val="GvdeMetni"/>
      </w:pPr>
    </w:p>
    <w:p w14:paraId="04182254" w14:textId="62CB8CCF" w:rsidR="00251DB3" w:rsidRDefault="00B5289A">
      <w:pPr>
        <w:pStyle w:val="Balk1"/>
      </w:pPr>
      <w:r>
        <w:t>Week 3</w:t>
      </w:r>
      <w:r w:rsidR="001F45DC">
        <w:t xml:space="preserve"> (Oct. </w:t>
      </w:r>
      <w:r w:rsidR="0066676F">
        <w:t>11</w:t>
      </w:r>
      <w:r w:rsidR="001F45DC">
        <w:t>)</w:t>
      </w:r>
      <w:r>
        <w:t xml:space="preserve">: </w:t>
      </w:r>
      <w:r w:rsidR="00555D54" w:rsidRPr="00555D54">
        <w:rPr>
          <w:bCs w:val="0"/>
        </w:rPr>
        <w:t>Native American Narratives</w:t>
      </w:r>
    </w:p>
    <w:p w14:paraId="1D285385" w14:textId="61EB793D" w:rsidR="00555D54" w:rsidRDefault="0058022F" w:rsidP="007D2A34">
      <w:pPr>
        <w:pStyle w:val="GvdeMetni"/>
        <w:spacing w:before="1"/>
        <w:ind w:left="120"/>
      </w:pPr>
      <w:r>
        <w:t>Leslie Marmon Silko “Lullaby”</w:t>
      </w:r>
    </w:p>
    <w:p w14:paraId="18AFCB2F" w14:textId="77777777" w:rsidR="00251DB3" w:rsidRDefault="00251DB3">
      <w:pPr>
        <w:pStyle w:val="GvdeMetni"/>
      </w:pPr>
    </w:p>
    <w:p w14:paraId="13FB6751" w14:textId="77777777" w:rsidR="00862CED" w:rsidRDefault="00862CED" w:rsidP="00862CED">
      <w:pPr>
        <w:pStyle w:val="Balk1"/>
        <w:rPr>
          <w:b w:val="0"/>
          <w:bCs w:val="0"/>
        </w:rPr>
      </w:pPr>
      <w:r>
        <w:t>Week 4 (Oct. 18): I will be on annual leave</w:t>
      </w:r>
    </w:p>
    <w:p w14:paraId="2EB74726" w14:textId="77777777" w:rsidR="00862CED" w:rsidRDefault="00862CED" w:rsidP="00862CED">
      <w:pPr>
        <w:pStyle w:val="Balk1"/>
        <w:rPr>
          <w:b w:val="0"/>
          <w:bCs w:val="0"/>
        </w:rPr>
      </w:pPr>
    </w:p>
    <w:p w14:paraId="48314389" w14:textId="77777777" w:rsidR="00862CED" w:rsidRPr="003742ED" w:rsidRDefault="00862CED" w:rsidP="00862CED">
      <w:pPr>
        <w:pStyle w:val="Balk1"/>
        <w:rPr>
          <w:bCs w:val="0"/>
        </w:rPr>
      </w:pPr>
      <w:r w:rsidRPr="003742ED">
        <w:rPr>
          <w:bCs w:val="0"/>
        </w:rPr>
        <w:t>Week 5 (Oct. 25): I will be on Conference Leave</w:t>
      </w:r>
    </w:p>
    <w:p w14:paraId="24F8CA98" w14:textId="77777777" w:rsidR="00862CED" w:rsidRDefault="00862CED" w:rsidP="00862CED">
      <w:pPr>
        <w:pStyle w:val="GvdeMetni"/>
      </w:pPr>
    </w:p>
    <w:p w14:paraId="7780EB4D" w14:textId="77777777" w:rsidR="00862CED" w:rsidRDefault="00862CED" w:rsidP="00862CED">
      <w:pPr>
        <w:pStyle w:val="Balk1"/>
      </w:pPr>
      <w:r>
        <w:t>Week 6 (Nov. 1): Mexican American Narratives</w:t>
      </w:r>
    </w:p>
    <w:p w14:paraId="27CFF11F" w14:textId="77777777" w:rsidR="00862CED" w:rsidRDefault="00862CED" w:rsidP="00862CED">
      <w:pPr>
        <w:pStyle w:val="Balk1"/>
        <w:rPr>
          <w:b w:val="0"/>
          <w:bCs w:val="0"/>
        </w:rPr>
      </w:pPr>
      <w:r>
        <w:rPr>
          <w:b w:val="0"/>
          <w:bCs w:val="0"/>
        </w:rPr>
        <w:t xml:space="preserve">Excerpt from </w:t>
      </w:r>
      <w:r w:rsidRPr="00BB6353">
        <w:rPr>
          <w:b w:val="0"/>
          <w:bCs w:val="0"/>
          <w:i/>
          <w:iCs/>
        </w:rPr>
        <w:t>Caramelo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 xml:space="preserve">by </w:t>
      </w:r>
      <w:r w:rsidRPr="00BB6353">
        <w:rPr>
          <w:b w:val="0"/>
          <w:bCs w:val="0"/>
        </w:rPr>
        <w:t>Sandra Cisneros</w:t>
      </w:r>
      <w:r>
        <w:rPr>
          <w:b w:val="0"/>
          <w:bCs w:val="0"/>
        </w:rPr>
        <w:t xml:space="preserve"> (pp. 97-136); excerpt from </w:t>
      </w:r>
      <w:r w:rsidRPr="00BB6353">
        <w:rPr>
          <w:b w:val="0"/>
          <w:bCs w:val="0"/>
          <w:i/>
          <w:iCs/>
        </w:rPr>
        <w:t>La Frontera/Borderlands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by Gloria Anzaldúa (pp. 101-113)</w:t>
      </w:r>
    </w:p>
    <w:p w14:paraId="6F61E762" w14:textId="77777777" w:rsidR="00862CED" w:rsidRDefault="00862CED" w:rsidP="00862CED">
      <w:pPr>
        <w:pStyle w:val="GvdeMetni"/>
      </w:pPr>
    </w:p>
    <w:p w14:paraId="19F6927D" w14:textId="77777777" w:rsidR="00862CED" w:rsidRPr="00452BA8" w:rsidRDefault="00862CED" w:rsidP="00862CED">
      <w:pPr>
        <w:pStyle w:val="Balk1"/>
        <w:rPr>
          <w:lang w:val="tr-TR"/>
        </w:rPr>
      </w:pPr>
      <w:r>
        <w:t>Week 7 (Nov. 8): Dominican American Narratives</w:t>
      </w:r>
    </w:p>
    <w:p w14:paraId="235E90DD" w14:textId="77777777" w:rsidR="00862CED" w:rsidRPr="0058022F" w:rsidRDefault="00862CED" w:rsidP="00862CED">
      <w:pPr>
        <w:pStyle w:val="GvdeMetni"/>
        <w:ind w:firstLine="142"/>
      </w:pPr>
      <w:r w:rsidRPr="00BB6353">
        <w:t>Excerpts from</w:t>
      </w:r>
      <w:r>
        <w:t xml:space="preserve"> </w:t>
      </w:r>
      <w:r w:rsidRPr="00BB6353">
        <w:rPr>
          <w:i/>
          <w:iCs/>
        </w:rPr>
        <w:t>The Brief Wondrous Life of Oscar Wao</w:t>
      </w:r>
      <w:r>
        <w:t xml:space="preserve"> by Junot Díaz (pp. 11-30 and pp. 270-283)</w:t>
      </w:r>
    </w:p>
    <w:p w14:paraId="7DE844C0" w14:textId="77777777" w:rsidR="00862CED" w:rsidRDefault="00862CED" w:rsidP="00862CED">
      <w:pPr>
        <w:pStyle w:val="GvdeMetni"/>
      </w:pPr>
    </w:p>
    <w:p w14:paraId="52A26B1E" w14:textId="77777777" w:rsidR="00862CED" w:rsidRDefault="00862CED" w:rsidP="00862CED">
      <w:pPr>
        <w:pStyle w:val="Balk1"/>
      </w:pPr>
      <w:r>
        <w:t>Week 8 (Nov. 15): Hawaiian and Samoan American Narratives &amp; African American Narratives</w:t>
      </w:r>
    </w:p>
    <w:p w14:paraId="3BF430FF" w14:textId="77777777" w:rsidR="00862CED" w:rsidRPr="0058022F" w:rsidRDefault="00862CED" w:rsidP="00862CED">
      <w:pPr>
        <w:pStyle w:val="GvdeMetni"/>
        <w:ind w:left="120"/>
        <w:rPr>
          <w:lang w:val="tr-TR"/>
        </w:rPr>
      </w:pPr>
      <w:r>
        <w:t xml:space="preserve">William Alfred Nu’utupu Giles “Prescribed Fire,” Kanye West “Wash Us in the Blood”  </w:t>
      </w:r>
    </w:p>
    <w:p w14:paraId="22086AF9" w14:textId="77777777" w:rsidR="00862CED" w:rsidRDefault="00862CED" w:rsidP="00862CED">
      <w:pPr>
        <w:pStyle w:val="GvdeMetni"/>
      </w:pPr>
    </w:p>
    <w:p w14:paraId="37FC9F1C" w14:textId="77777777" w:rsidR="00862CED" w:rsidRDefault="00862CED" w:rsidP="00862CED">
      <w:pPr>
        <w:pStyle w:val="Balk1"/>
      </w:pPr>
      <w:r>
        <w:t xml:space="preserve">Week 9 (Nov. 22): </w:t>
      </w:r>
      <w:r w:rsidRPr="00A670EB">
        <w:t>Mid-Term Exams</w:t>
      </w:r>
      <w:r>
        <w:t>/No Class</w:t>
      </w:r>
    </w:p>
    <w:p w14:paraId="7170C80A" w14:textId="77777777" w:rsidR="00862CED" w:rsidRDefault="00862CED" w:rsidP="00862CED">
      <w:pPr>
        <w:rPr>
          <w:sz w:val="24"/>
        </w:rPr>
      </w:pPr>
    </w:p>
    <w:p w14:paraId="0EB723CB" w14:textId="77777777" w:rsidR="00862CED" w:rsidRDefault="00862CED" w:rsidP="00862CED">
      <w:pPr>
        <w:pStyle w:val="Balk1"/>
      </w:pPr>
      <w:r w:rsidRPr="001F45DC">
        <w:t xml:space="preserve">Week </w:t>
      </w:r>
      <w:r>
        <w:t>10</w:t>
      </w:r>
      <w:r w:rsidRPr="001F45DC">
        <w:t xml:space="preserve"> (</w:t>
      </w:r>
      <w:r>
        <w:t>Nov</w:t>
      </w:r>
      <w:r w:rsidRPr="001F45DC">
        <w:t xml:space="preserve">. </w:t>
      </w:r>
      <w:r>
        <w:t>29</w:t>
      </w:r>
      <w:r w:rsidRPr="001F45DC">
        <w:t xml:space="preserve">): </w:t>
      </w:r>
      <w:r>
        <w:t>African American Narratives</w:t>
      </w:r>
    </w:p>
    <w:p w14:paraId="22E4D57A" w14:textId="77777777" w:rsidR="00862CED" w:rsidRPr="006867E3" w:rsidRDefault="00862CED" w:rsidP="00862CED">
      <w:pPr>
        <w:pStyle w:val="Balk1"/>
        <w:rPr>
          <w:b w:val="0"/>
          <w:bCs w:val="0"/>
          <w:lang w:val="tr-TR"/>
        </w:rPr>
      </w:pPr>
      <w:r>
        <w:rPr>
          <w:b w:val="0"/>
          <w:bCs w:val="0"/>
        </w:rPr>
        <w:t>Langston Hughes “Harlem”; e</w:t>
      </w:r>
      <w:r w:rsidRPr="006867E3">
        <w:rPr>
          <w:b w:val="0"/>
          <w:bCs w:val="0"/>
        </w:rPr>
        <w:t>xcerpts from</w:t>
      </w:r>
      <w:r>
        <w:rPr>
          <w:b w:val="0"/>
          <w:bCs w:val="0"/>
        </w:rPr>
        <w:t xml:space="preserve"> “A Raisin in the Sun” by Lorraine Hansberry (pp. 551-554 and pp. 569-586); “On Being White… and Other Lies”</w:t>
      </w:r>
      <w:r w:rsidRPr="006867E3">
        <w:rPr>
          <w:b w:val="0"/>
          <w:bCs w:val="0"/>
        </w:rPr>
        <w:t xml:space="preserve"> from </w:t>
      </w:r>
      <w:r w:rsidRPr="006867E3">
        <w:rPr>
          <w:b w:val="0"/>
          <w:bCs w:val="0"/>
          <w:i/>
          <w:iCs/>
        </w:rPr>
        <w:t>The Cross of Redemption: Uncollected Writings</w:t>
      </w:r>
      <w:r>
        <w:rPr>
          <w:b w:val="0"/>
          <w:bCs w:val="0"/>
        </w:rPr>
        <w:t xml:space="preserve"> by James Baldwin (pp. 135-138)</w:t>
      </w:r>
    </w:p>
    <w:p w14:paraId="3FDE5BAC" w14:textId="77777777" w:rsidR="00862CED" w:rsidRDefault="00862CED" w:rsidP="00862CED">
      <w:pPr>
        <w:pStyle w:val="GvdeMetni"/>
        <w:ind w:left="142"/>
      </w:pPr>
    </w:p>
    <w:p w14:paraId="506FB1B8" w14:textId="77777777" w:rsidR="00862CED" w:rsidRPr="000C32FF" w:rsidRDefault="00862CED" w:rsidP="00862CED">
      <w:pPr>
        <w:pStyle w:val="Balk1"/>
      </w:pPr>
      <w:r>
        <w:t>Week 11 (Dec. 6):</w:t>
      </w:r>
      <w:r>
        <w:rPr>
          <w:spacing w:val="-6"/>
        </w:rPr>
        <w:t xml:space="preserve"> </w:t>
      </w:r>
      <w:r w:rsidRPr="0058022F">
        <w:t>African American Narratives</w:t>
      </w:r>
    </w:p>
    <w:p w14:paraId="6801D0AF" w14:textId="0FE3101E" w:rsidR="00862CED" w:rsidRDefault="00862CED" w:rsidP="00862CED">
      <w:pPr>
        <w:pStyle w:val="GvdeMetni"/>
        <w:ind w:left="142"/>
      </w:pPr>
      <w:bookmarkStart w:id="0" w:name="_GoBack"/>
      <w:bookmarkEnd w:id="0"/>
      <w:r w:rsidRPr="00C30A48">
        <w:t xml:space="preserve">Emtithal Mahmoud “Mama”; excerpt from </w:t>
      </w:r>
      <w:r w:rsidRPr="00C30A48">
        <w:rPr>
          <w:i/>
          <w:iCs/>
        </w:rPr>
        <w:t>Playing in the Dark: Whiteness and the Literary Imagination</w:t>
      </w:r>
      <w:r w:rsidRPr="00C30A48">
        <w:t xml:space="preserve"> by Toni Morrison (pp. 44-53),</w:t>
      </w:r>
      <w:r>
        <w:t xml:space="preserve"> </w:t>
      </w:r>
      <w:r w:rsidR="00C30A48">
        <w:t>Brother Ali “Uncle Sam Goddamn”</w:t>
      </w:r>
    </w:p>
    <w:p w14:paraId="05B33E8C" w14:textId="5FA8A971" w:rsidR="003742ED" w:rsidRDefault="003742ED" w:rsidP="00862CED">
      <w:pPr>
        <w:pStyle w:val="GvdeMetni"/>
      </w:pPr>
    </w:p>
    <w:p w14:paraId="47B2195E" w14:textId="0A145A2C" w:rsidR="00251DB3" w:rsidRDefault="00B5289A">
      <w:pPr>
        <w:pStyle w:val="Balk1"/>
        <w:spacing w:before="1"/>
      </w:pPr>
      <w:r>
        <w:t>Week 1</w:t>
      </w:r>
      <w:r w:rsidR="003742ED">
        <w:t>2</w:t>
      </w:r>
      <w:r w:rsidR="001F45DC">
        <w:t xml:space="preserve"> (Dec. 1</w:t>
      </w:r>
      <w:r w:rsidR="005D5D1B">
        <w:t>3</w:t>
      </w:r>
      <w:r w:rsidR="001F45DC">
        <w:t>)</w:t>
      </w:r>
      <w:r>
        <w:t xml:space="preserve">: </w:t>
      </w:r>
      <w:r w:rsidR="0058022F">
        <w:t>Irish American Narratives</w:t>
      </w:r>
    </w:p>
    <w:p w14:paraId="64A5CE37" w14:textId="5AD50E0B" w:rsidR="00251DB3" w:rsidRDefault="00BD5DA1" w:rsidP="00BD5DA1">
      <w:pPr>
        <w:pStyle w:val="GvdeMetni"/>
        <w:spacing w:before="11"/>
        <w:ind w:firstLine="142"/>
        <w:rPr>
          <w:sz w:val="23"/>
        </w:rPr>
      </w:pPr>
      <w:r>
        <w:rPr>
          <w:sz w:val="23"/>
        </w:rPr>
        <w:t>John F. Poole “No Irish Need Apply”</w:t>
      </w:r>
      <w:r w:rsidR="009C06B6">
        <w:rPr>
          <w:sz w:val="23"/>
        </w:rPr>
        <w:t>;</w:t>
      </w:r>
      <w:r>
        <w:rPr>
          <w:sz w:val="23"/>
        </w:rPr>
        <w:t xml:space="preserve"> Joe English “The Irish Volunteer”</w:t>
      </w:r>
      <w:r w:rsidR="009C06B6">
        <w:rPr>
          <w:sz w:val="23"/>
        </w:rPr>
        <w:t>;</w:t>
      </w:r>
      <w:r>
        <w:rPr>
          <w:sz w:val="23"/>
        </w:rPr>
        <w:t xml:space="preserve"> “We’ll fight for Uncle Sam”</w:t>
      </w:r>
    </w:p>
    <w:p w14:paraId="670DD8BE" w14:textId="77777777" w:rsidR="00BD5DA1" w:rsidRDefault="00BD5DA1" w:rsidP="00BD5DA1">
      <w:pPr>
        <w:pStyle w:val="GvdeMetni"/>
        <w:spacing w:before="11"/>
        <w:ind w:firstLine="142"/>
        <w:rPr>
          <w:sz w:val="23"/>
        </w:rPr>
      </w:pPr>
    </w:p>
    <w:p w14:paraId="47E4F84F" w14:textId="17720ABC" w:rsidR="00251DB3" w:rsidRDefault="00B5289A">
      <w:pPr>
        <w:pStyle w:val="Balk1"/>
      </w:pPr>
      <w:r>
        <w:t>Week 13</w:t>
      </w:r>
      <w:r w:rsidR="001F45DC">
        <w:t xml:space="preserve"> (Dec. </w:t>
      </w:r>
      <w:r w:rsidR="00A670EB">
        <w:t>2</w:t>
      </w:r>
      <w:r w:rsidR="005D5D1B">
        <w:t>0</w:t>
      </w:r>
      <w:r w:rsidR="001F45DC">
        <w:t>)</w:t>
      </w:r>
      <w:r>
        <w:t xml:space="preserve">: </w:t>
      </w:r>
      <w:r w:rsidR="0058022F">
        <w:t>Italian American Narratives</w:t>
      </w:r>
    </w:p>
    <w:p w14:paraId="52504655" w14:textId="54BC9828" w:rsidR="00BD5DA1" w:rsidRPr="005333B2" w:rsidRDefault="0091259A" w:rsidP="00A670EB">
      <w:pPr>
        <w:pStyle w:val="Balk1"/>
        <w:rPr>
          <w:b w:val="0"/>
          <w:bCs w:val="0"/>
        </w:rPr>
      </w:pPr>
      <w:r w:rsidRPr="0091259A">
        <w:rPr>
          <w:b w:val="0"/>
          <w:bCs w:val="0"/>
        </w:rPr>
        <w:t xml:space="preserve">Excerpts from Constantine M. Panunzio’s </w:t>
      </w:r>
      <w:r w:rsidRPr="009C06B6">
        <w:rPr>
          <w:b w:val="0"/>
          <w:bCs w:val="0"/>
          <w:i/>
          <w:iCs/>
        </w:rPr>
        <w:t>The Soul of an Immigrant</w:t>
      </w:r>
      <w:r w:rsidR="005333B2">
        <w:rPr>
          <w:b w:val="0"/>
          <w:bCs w:val="0"/>
          <w:i/>
          <w:iCs/>
        </w:rPr>
        <w:t xml:space="preserve"> </w:t>
      </w:r>
      <w:r w:rsidR="00D23307">
        <w:rPr>
          <w:b w:val="0"/>
          <w:bCs w:val="0"/>
        </w:rPr>
        <w:t>(Foreword, pp. 68-82, pp. 299-312, pp. 328-329)</w:t>
      </w:r>
      <w:r w:rsidR="00A670EB">
        <w:rPr>
          <w:b w:val="0"/>
          <w:bCs w:val="0"/>
        </w:rPr>
        <w:t xml:space="preserve">; </w:t>
      </w:r>
      <w:r w:rsidR="00A670EB" w:rsidRPr="0091259A">
        <w:rPr>
          <w:b w:val="0"/>
          <w:bCs w:val="0"/>
        </w:rPr>
        <w:t xml:space="preserve">Excerpts from </w:t>
      </w:r>
      <w:r w:rsidR="00A670EB">
        <w:rPr>
          <w:b w:val="0"/>
          <w:bCs w:val="0"/>
        </w:rPr>
        <w:t xml:space="preserve">Thomas A. Guglielmo’s </w:t>
      </w:r>
      <w:r w:rsidR="00A670EB" w:rsidRPr="00F20A70">
        <w:rPr>
          <w:b w:val="0"/>
          <w:bCs w:val="0"/>
          <w:i/>
          <w:iCs/>
        </w:rPr>
        <w:t>White on Arrival: Italians, Race, Color, and Power in Chicago, 1890-1945</w:t>
      </w:r>
      <w:r w:rsidR="00A670EB">
        <w:rPr>
          <w:b w:val="0"/>
          <w:bCs w:val="0"/>
        </w:rPr>
        <w:t xml:space="preserve"> (pp. 3-13); excerpts from Matthew F. Jacobson’s </w:t>
      </w:r>
      <w:r w:rsidR="00A670EB" w:rsidRPr="00F20A70">
        <w:rPr>
          <w:b w:val="0"/>
          <w:bCs w:val="0"/>
          <w:i/>
          <w:iCs/>
        </w:rPr>
        <w:t>Whiteness of a Different Color: European Immigrants and the Alchemy of Race</w:t>
      </w:r>
      <w:r w:rsidR="00A670EB">
        <w:rPr>
          <w:b w:val="0"/>
          <w:bCs w:val="0"/>
        </w:rPr>
        <w:t xml:space="preserve"> (pp. 56-62)</w:t>
      </w:r>
      <w:r w:rsidR="005D5D1B">
        <w:rPr>
          <w:b w:val="0"/>
          <w:bCs w:val="0"/>
        </w:rPr>
        <w:t xml:space="preserve"> </w:t>
      </w:r>
    </w:p>
    <w:p w14:paraId="24573974" w14:textId="77777777" w:rsidR="00251DB3" w:rsidRDefault="00251DB3">
      <w:pPr>
        <w:pStyle w:val="GvdeMetni"/>
      </w:pPr>
    </w:p>
    <w:p w14:paraId="4143CD17" w14:textId="7AE0E71A" w:rsidR="00251DB3" w:rsidRDefault="00B5289A">
      <w:pPr>
        <w:pStyle w:val="Balk1"/>
      </w:pPr>
      <w:r>
        <w:t>Week 14</w:t>
      </w:r>
      <w:r w:rsidR="001F45DC">
        <w:t xml:space="preserve"> (Dec. </w:t>
      </w:r>
      <w:r w:rsidR="005D5D1B">
        <w:t>27</w:t>
      </w:r>
      <w:r w:rsidR="001F45DC">
        <w:t>)</w:t>
      </w:r>
      <w:r>
        <w:t xml:space="preserve">: </w:t>
      </w:r>
      <w:r w:rsidR="005D5D1B">
        <w:t>Achille Mbembe, “Necropolitics”</w:t>
      </w:r>
    </w:p>
    <w:p w14:paraId="199AEF53" w14:textId="77777777" w:rsidR="00251DB3" w:rsidRDefault="00251DB3">
      <w:pPr>
        <w:pStyle w:val="GvdeMetni"/>
      </w:pPr>
    </w:p>
    <w:p w14:paraId="67DBF760" w14:textId="669FC4D8" w:rsidR="00251DB3" w:rsidRDefault="00B5289A">
      <w:pPr>
        <w:pStyle w:val="Balk1"/>
      </w:pPr>
      <w:r>
        <w:t>Week 1</w:t>
      </w:r>
      <w:r w:rsidR="005D5D1B">
        <w:t>5</w:t>
      </w:r>
      <w:r>
        <w:t>:</w:t>
      </w:r>
      <w:r w:rsidR="0066676F">
        <w:t xml:space="preserve"> (Jan. 3)</w:t>
      </w:r>
      <w:r>
        <w:t xml:space="preserve"> </w:t>
      </w:r>
      <w:r w:rsidR="005D5D1B">
        <w:t>Revision/ Collaborative Discussion</w:t>
      </w:r>
    </w:p>
    <w:sectPr w:rsidR="00251DB3" w:rsidSect="00A670EB">
      <w:footerReference w:type="default" r:id="rId8"/>
      <w:pgSz w:w="12240" w:h="15840"/>
      <w:pgMar w:top="1360" w:right="880" w:bottom="709" w:left="96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2486" w14:textId="77777777" w:rsidR="005650DC" w:rsidRDefault="005650DC">
      <w:r>
        <w:separator/>
      </w:r>
    </w:p>
  </w:endnote>
  <w:endnote w:type="continuationSeparator" w:id="0">
    <w:p w14:paraId="7F3ECFF8" w14:textId="77777777" w:rsidR="005650DC" w:rsidRDefault="0056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EE97" w14:textId="77777777" w:rsidR="00561BA5" w:rsidRDefault="005650DC">
    <w:pPr>
      <w:pStyle w:val="GvdeMetni"/>
      <w:spacing w:line="14" w:lineRule="auto"/>
      <w:rPr>
        <w:sz w:val="20"/>
      </w:rPr>
    </w:pPr>
    <w:r>
      <w:pict w14:anchorId="364A43E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318.7pt;margin-top:741.05pt;width:10.65pt;height:16.1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212F2E1E" w14:textId="6F914BEB" w:rsidR="00561BA5" w:rsidRDefault="00561BA5">
                <w:pPr>
                  <w:pStyle w:val="GvdeMetni"/>
                  <w:spacing w:before="24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C30A48">
                  <w:rPr>
                    <w:noProof/>
                    <w:w w:val="11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C79B" w14:textId="77777777" w:rsidR="005650DC" w:rsidRDefault="005650DC">
      <w:r>
        <w:separator/>
      </w:r>
    </w:p>
  </w:footnote>
  <w:footnote w:type="continuationSeparator" w:id="0">
    <w:p w14:paraId="3856DE12" w14:textId="77777777" w:rsidR="005650DC" w:rsidRDefault="0056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8C1"/>
    <w:multiLevelType w:val="hybridMultilevel"/>
    <w:tmpl w:val="E26CEA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125"/>
    <w:multiLevelType w:val="hybridMultilevel"/>
    <w:tmpl w:val="8318B1AA"/>
    <w:lvl w:ilvl="0" w:tplc="39FE36D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en-US" w:eastAsia="en-US" w:bidi="en-US"/>
      </w:rPr>
    </w:lvl>
    <w:lvl w:ilvl="1" w:tplc="0B32D77C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67C0B24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3" w:tplc="5DF2AA2C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D82808A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5" w:tplc="06EE405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BAB8A6E4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en-US"/>
      </w:rPr>
    </w:lvl>
    <w:lvl w:ilvl="7" w:tplc="E97AAB3A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8" w:tplc="4EF8E614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DC22A15"/>
    <w:multiLevelType w:val="hybridMultilevel"/>
    <w:tmpl w:val="FD728664"/>
    <w:lvl w:ilvl="0" w:tplc="CA70CBF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F53A1"/>
    <w:multiLevelType w:val="hybridMultilevel"/>
    <w:tmpl w:val="4330E94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1DB3"/>
    <w:rsid w:val="0006419B"/>
    <w:rsid w:val="00092872"/>
    <w:rsid w:val="000B7E33"/>
    <w:rsid w:val="001B7E73"/>
    <w:rsid w:val="001F45DC"/>
    <w:rsid w:val="00251DB3"/>
    <w:rsid w:val="002E68EC"/>
    <w:rsid w:val="00351C46"/>
    <w:rsid w:val="003742ED"/>
    <w:rsid w:val="003941FF"/>
    <w:rsid w:val="003A0A7B"/>
    <w:rsid w:val="003F5A98"/>
    <w:rsid w:val="00431EBA"/>
    <w:rsid w:val="00452BA8"/>
    <w:rsid w:val="004C5172"/>
    <w:rsid w:val="004D5644"/>
    <w:rsid w:val="00506310"/>
    <w:rsid w:val="005333B2"/>
    <w:rsid w:val="00555D54"/>
    <w:rsid w:val="00561BA5"/>
    <w:rsid w:val="005650DC"/>
    <w:rsid w:val="0058022F"/>
    <w:rsid w:val="005829AE"/>
    <w:rsid w:val="0059527A"/>
    <w:rsid w:val="005D5D1B"/>
    <w:rsid w:val="005E5EA9"/>
    <w:rsid w:val="00622DFE"/>
    <w:rsid w:val="006432F4"/>
    <w:rsid w:val="0066676F"/>
    <w:rsid w:val="006867E3"/>
    <w:rsid w:val="007725E9"/>
    <w:rsid w:val="007A17E5"/>
    <w:rsid w:val="007D2A34"/>
    <w:rsid w:val="007D411D"/>
    <w:rsid w:val="008234B6"/>
    <w:rsid w:val="008474BB"/>
    <w:rsid w:val="00862CED"/>
    <w:rsid w:val="008A4466"/>
    <w:rsid w:val="008E07F2"/>
    <w:rsid w:val="0091259A"/>
    <w:rsid w:val="009310A3"/>
    <w:rsid w:val="009A3526"/>
    <w:rsid w:val="009B7D81"/>
    <w:rsid w:val="009C06B6"/>
    <w:rsid w:val="009F3CB2"/>
    <w:rsid w:val="009F464E"/>
    <w:rsid w:val="00A57AE9"/>
    <w:rsid w:val="00A670EB"/>
    <w:rsid w:val="00A92868"/>
    <w:rsid w:val="00AD362C"/>
    <w:rsid w:val="00B252D5"/>
    <w:rsid w:val="00B36A4E"/>
    <w:rsid w:val="00B36AAD"/>
    <w:rsid w:val="00B5289A"/>
    <w:rsid w:val="00BA7A5E"/>
    <w:rsid w:val="00BB6353"/>
    <w:rsid w:val="00BD5DA1"/>
    <w:rsid w:val="00C30A48"/>
    <w:rsid w:val="00CC37D3"/>
    <w:rsid w:val="00CE2328"/>
    <w:rsid w:val="00CE320D"/>
    <w:rsid w:val="00D23307"/>
    <w:rsid w:val="00DB4071"/>
    <w:rsid w:val="00DC3600"/>
    <w:rsid w:val="00E67E2C"/>
    <w:rsid w:val="00EA20FE"/>
    <w:rsid w:val="00F20A70"/>
    <w:rsid w:val="00F2559E"/>
    <w:rsid w:val="00F86E52"/>
    <w:rsid w:val="00FC4959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0CF210"/>
  <w15:docId w15:val="{A68C2E11-D846-764A-B7E5-07560E49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40" w:right="107" w:hanging="360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lester@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51</cp:revision>
  <dcterms:created xsi:type="dcterms:W3CDTF">2018-10-09T17:47:00Z</dcterms:created>
  <dcterms:modified xsi:type="dcterms:W3CDTF">2024-09-09T06:50:00Z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2018-10-09T00:00:00Z</vt:filetime>
  </property>
</Properties>
</file>