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00AD" w14:textId="77777777" w:rsidR="002A5190" w:rsidRPr="006A0D58" w:rsidRDefault="002A5190" w:rsidP="002A5190">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2A81C5B7" w14:textId="77777777" w:rsidR="002A5190" w:rsidRPr="006A0D58" w:rsidRDefault="002A5190" w:rsidP="002A5190">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4F8AC14A" w14:textId="3FEE0B87" w:rsidR="002A5190" w:rsidRPr="006A0D58" w:rsidRDefault="002A5190" w:rsidP="002A5190">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310A62">
        <w:rPr>
          <w:rFonts w:ascii="Times New Roman" w:eastAsia="Times New Roman" w:hAnsi="Times New Roman" w:cs="Times New Roman"/>
          <w:b/>
          <w:lang w:eastAsia="tr-TR"/>
        </w:rPr>
        <w:t>15</w:t>
      </w:r>
      <w:r w:rsidRPr="006A0D58">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2A5190" w:rsidRPr="006A0D58" w14:paraId="630D6496" w14:textId="77777777" w:rsidTr="00C50205">
        <w:trPr>
          <w:tblCellSpacing w:w="15" w:type="dxa"/>
        </w:trPr>
        <w:tc>
          <w:tcPr>
            <w:tcW w:w="1327" w:type="dxa"/>
            <w:tcMar>
              <w:top w:w="15" w:type="dxa"/>
              <w:left w:w="15" w:type="dxa"/>
              <w:bottom w:w="15" w:type="dxa"/>
              <w:right w:w="15" w:type="dxa"/>
            </w:tcMar>
          </w:tcPr>
          <w:p w14:paraId="19261C7C" w14:textId="77777777" w:rsidR="002A5190" w:rsidRPr="006A0D58" w:rsidRDefault="002A5190" w:rsidP="00C50205">
            <w:pPr>
              <w:spacing w:before="24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9</w:t>
            </w:r>
          </w:p>
        </w:tc>
        <w:tc>
          <w:tcPr>
            <w:tcW w:w="7596" w:type="dxa"/>
            <w:tcMar>
              <w:top w:w="15" w:type="dxa"/>
              <w:left w:w="15" w:type="dxa"/>
              <w:bottom w:w="15" w:type="dxa"/>
              <w:right w:w="15" w:type="dxa"/>
            </w:tcMar>
            <w:vAlign w:val="center"/>
          </w:tcPr>
          <w:p w14:paraId="661F8A66" w14:textId="77777777" w:rsidR="002A5190" w:rsidRPr="006A0D58" w:rsidRDefault="002A5190" w:rsidP="00C50205">
            <w:pPr>
              <w:keepNext/>
              <w:spacing w:before="120" w:after="120" w:line="240" w:lineRule="auto"/>
              <w:ind w:firstLine="709"/>
              <w:jc w:val="center"/>
              <w:outlineLvl w:val="1"/>
              <w:rPr>
                <w:rFonts w:ascii="Times New Roman" w:eastAsia="Times New Roman" w:hAnsi="Times New Roman" w:cs="Times New Roman"/>
                <w:color w:val="FF0000"/>
                <w:lang w:eastAsia="tr-TR"/>
              </w:rPr>
            </w:pPr>
            <w:r w:rsidRPr="006A0D58">
              <w:rPr>
                <w:rFonts w:ascii="Times New Roman" w:eastAsia="Times New Roman" w:hAnsi="Times New Roman" w:cs="Times New Roman"/>
                <w:b/>
                <w:color w:val="FF0000"/>
                <w:lang w:eastAsia="tr-TR"/>
              </w:rPr>
              <w:t>Mustafa Kemal Paşa’nın Samsun’a Ayak Basması (19 Mayıs 1919)</w:t>
            </w:r>
            <w:r>
              <w:rPr>
                <w:rFonts w:ascii="Times New Roman" w:eastAsia="Times New Roman" w:hAnsi="Times New Roman" w:cs="Times New Roman"/>
                <w:b/>
                <w:color w:val="FF0000"/>
                <w:lang w:eastAsia="tr-TR"/>
              </w:rPr>
              <w:t>;</w:t>
            </w:r>
            <w:r w:rsidRPr="006A0D58">
              <w:rPr>
                <w:rFonts w:ascii="Times New Roman" w:eastAsia="Times New Roman" w:hAnsi="Times New Roman" w:cs="Times New Roman"/>
                <w:b/>
                <w:color w:val="FF0000"/>
                <w:lang w:eastAsia="tr-TR"/>
              </w:rPr>
              <w:t xml:space="preserve"> </w:t>
            </w:r>
            <w:r w:rsidRPr="007E7BFD">
              <w:rPr>
                <w:rFonts w:ascii="Times New Roman" w:eastAsia="Times New Roman" w:hAnsi="Times New Roman" w:cs="Times New Roman"/>
                <w:b/>
                <w:color w:val="FF0000"/>
                <w:lang w:eastAsia="tr-TR"/>
              </w:rPr>
              <w:t>Genelgeler ve Kongreler Dönemi</w:t>
            </w:r>
            <w:r>
              <w:rPr>
                <w:rFonts w:ascii="Times New Roman" w:eastAsia="Times New Roman" w:hAnsi="Times New Roman" w:cs="Times New Roman"/>
                <w:b/>
                <w:color w:val="FF0000"/>
                <w:lang w:eastAsia="tr-TR"/>
              </w:rPr>
              <w:t xml:space="preserve">; </w:t>
            </w:r>
            <w:r w:rsidRPr="007E7BFD">
              <w:rPr>
                <w:rFonts w:ascii="Times New Roman" w:eastAsia="Times New Roman" w:hAnsi="Times New Roman" w:cs="Times New Roman"/>
                <w:b/>
                <w:bCs/>
                <w:iCs/>
                <w:color w:val="FF0000"/>
                <w:lang w:eastAsia="tr-TR"/>
              </w:rPr>
              <w:t>Amasya Genelgesi</w:t>
            </w:r>
          </w:p>
        </w:tc>
      </w:tr>
    </w:tbl>
    <w:p w14:paraId="13D8C029" w14:textId="77777777" w:rsidR="002A5190" w:rsidRPr="007E7BFD" w:rsidRDefault="002A5190" w:rsidP="002A5190">
      <w:pPr>
        <w:spacing w:before="120" w:after="120" w:line="240" w:lineRule="auto"/>
        <w:jc w:val="center"/>
        <w:rPr>
          <w:rFonts w:ascii="Times New Roman" w:eastAsia="Times New Roman" w:hAnsi="Times New Roman" w:cs="Times New Roman"/>
          <w:b/>
          <w:lang w:eastAsia="tr-TR"/>
        </w:rPr>
      </w:pPr>
      <w:r w:rsidRPr="007E7BFD">
        <w:rPr>
          <w:rFonts w:ascii="Times New Roman" w:eastAsia="Times New Roman" w:hAnsi="Times New Roman" w:cs="Times New Roman"/>
          <w:b/>
          <w:lang w:eastAsia="tr-TR"/>
        </w:rPr>
        <w:t xml:space="preserve">Mustafa Kemal Paşa’nın Samsun’a Ayak Basması (19 Mayıs 1919) </w:t>
      </w:r>
    </w:p>
    <w:p w14:paraId="7D50AD6C" w14:textId="77777777" w:rsidR="002A5190" w:rsidRDefault="002A5190" w:rsidP="002A519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16 Mayıs 1919 tarihinde Bandırma Vapuru ile İstanbul’dan ayrılan Mustafa Kemal Paşa ve beraberindeki 48 kişi, sıkıntılı bir yolculuktan sonra, 19 Mayıs 1919’da Samsun’a ayak basmıştır. Ardından 25 Mayıs 1919’da Havza’ya ulaşmış ve burada şehrin ileri gelenleri ile bir toplantı yaparak, ülkenin durumunu görüşmüştür. </w:t>
      </w:r>
    </w:p>
    <w:p w14:paraId="1B1A01D8" w14:textId="77777777" w:rsidR="002A5190" w:rsidRPr="007E7BFD" w:rsidRDefault="002A5190" w:rsidP="002A5190">
      <w:pPr>
        <w:spacing w:after="120" w:line="240" w:lineRule="auto"/>
        <w:ind w:firstLine="709"/>
        <w:jc w:val="both"/>
        <w:rPr>
          <w:rFonts w:ascii="Times New Roman" w:eastAsia="Times New Roman" w:hAnsi="Times New Roman" w:cs="Times New Roman"/>
          <w:lang w:eastAsia="tr-TR"/>
        </w:rPr>
      </w:pPr>
      <w:r w:rsidRPr="007E7BFD">
        <w:rPr>
          <w:rFonts w:ascii="Times New Roman" w:eastAsia="Times New Roman" w:hAnsi="Times New Roman" w:cs="Times New Roman"/>
          <w:b/>
          <w:lang w:eastAsia="tr-TR"/>
        </w:rPr>
        <w:t>Genelgeler ve Kongreler Dönemi</w:t>
      </w:r>
    </w:p>
    <w:p w14:paraId="4FC58DD0" w14:textId="77777777" w:rsidR="002A5190" w:rsidRPr="006A0D58" w:rsidRDefault="002A5190" w:rsidP="002A5190">
      <w:pPr>
        <w:spacing w:after="120" w:line="240" w:lineRule="auto"/>
        <w:ind w:firstLine="709"/>
        <w:jc w:val="both"/>
        <w:rPr>
          <w:rFonts w:ascii="Times New Roman" w:eastAsia="Times New Roman" w:hAnsi="Times New Roman" w:cs="Times New Roman"/>
          <w:spacing w:val="-4"/>
          <w:lang w:eastAsia="tr-TR"/>
        </w:rPr>
      </w:pPr>
      <w:r w:rsidRPr="006A0D58">
        <w:rPr>
          <w:rFonts w:ascii="Times New Roman" w:eastAsia="Times New Roman" w:hAnsi="Times New Roman" w:cs="Times New Roman"/>
          <w:spacing w:val="-4"/>
          <w:lang w:eastAsia="tr-TR"/>
        </w:rPr>
        <w:t>Bağımsızlığın Anadolu’da verilecek mücadele ile mümkün olacağı düşüncesini taşıyarak İstanbul’dan ayrılan Mustafa Kemal Paşa’nın Türk halkına ilk seslenişi, 28 Mayıs 1919 tarihinde Havza Genelgesi ile gerçekleşmiştir.</w:t>
      </w:r>
      <w:r w:rsidRPr="006A0D58">
        <w:rPr>
          <w:rFonts w:ascii="Times New Roman" w:eastAsia="Times New Roman" w:hAnsi="Times New Roman" w:cs="Times New Roman"/>
          <w:spacing w:val="-4"/>
          <w:vertAlign w:val="superscript"/>
          <w:lang w:eastAsia="tr-TR"/>
        </w:rPr>
        <w:footnoteReference w:id="1"/>
      </w:r>
      <w:r w:rsidRPr="006A0D58">
        <w:rPr>
          <w:rFonts w:ascii="Times New Roman" w:eastAsia="Times New Roman" w:hAnsi="Times New Roman" w:cs="Times New Roman"/>
          <w:spacing w:val="-4"/>
          <w:lang w:eastAsia="tr-TR"/>
        </w:rPr>
        <w:t xml:space="preserve"> Mustafa Kemal Paşa, Havza Genelgesi ya da bildirisiyle İzmir’in işgaline yurdun değişik yerlerinde gösterilen dağınık tepkileri birleştirmeyi, protestoların ülke geneline yayılmasını sağlayarak, ortak bir ruh ve heyecan yaratmayı amaçlamıştır. Bir yandan İzmir’in işgalinin miting ve gösterilerle protesto edilmesini, diğer yandan da komutanlardan Mondros’un hükümlerine uyulmamasını, orduların dağıtılmamasını istemiştir.</w:t>
      </w:r>
      <w:r w:rsidRPr="006A0D58">
        <w:rPr>
          <w:rFonts w:ascii="Times New Roman" w:eastAsia="Times New Roman" w:hAnsi="Times New Roman" w:cs="Times New Roman"/>
          <w:spacing w:val="-4"/>
          <w:vertAlign w:val="superscript"/>
          <w:lang w:eastAsia="tr-TR"/>
        </w:rPr>
        <w:footnoteReference w:id="2"/>
      </w:r>
      <w:r w:rsidRPr="006A0D58">
        <w:rPr>
          <w:rFonts w:ascii="Times New Roman" w:eastAsia="Times New Roman" w:hAnsi="Times New Roman" w:cs="Times New Roman"/>
          <w:spacing w:val="-4"/>
          <w:lang w:eastAsia="tr-TR"/>
        </w:rPr>
        <w:t xml:space="preserve"> </w:t>
      </w:r>
    </w:p>
    <w:p w14:paraId="68DE564D" w14:textId="77777777" w:rsidR="002A5190" w:rsidRPr="006A0D58" w:rsidRDefault="002A5190" w:rsidP="002A519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Askeri birlikler ve Müdafaa-i Hukuk Cemiyetleri ile sürdürdüğü yoğun iletişim, Havza Genelgesi ve özellikle de 3 Haziran 1919’da Harbiye Nazırına çekmiş olduğu telgraf, İstanbul’daki çevrelerin Mustafa Kemal Paşa’nın faaliyetlerinden kuşku duymalarına yol açmış ve 8 Haziranda Hükümet tarafından İstanbul’a geri çağrılmıştır.</w:t>
      </w:r>
      <w:r w:rsidRPr="006A0D58">
        <w:rPr>
          <w:rFonts w:ascii="Times New Roman" w:eastAsia="Times New Roman" w:hAnsi="Times New Roman" w:cs="Times New Roman"/>
          <w:vertAlign w:val="superscript"/>
          <w:lang w:eastAsia="tr-TR"/>
        </w:rPr>
        <w:footnoteReference w:id="3"/>
      </w:r>
    </w:p>
    <w:p w14:paraId="34A1BDD6" w14:textId="77777777" w:rsidR="002A5190" w:rsidRPr="006A0D58" w:rsidRDefault="002A5190" w:rsidP="002A5190">
      <w:pPr>
        <w:keepNext/>
        <w:spacing w:after="120" w:line="240" w:lineRule="auto"/>
        <w:ind w:firstLine="709"/>
        <w:jc w:val="both"/>
        <w:outlineLvl w:val="1"/>
        <w:rPr>
          <w:rFonts w:ascii="Times New Roman" w:eastAsia="Times New Roman" w:hAnsi="Times New Roman" w:cs="Times New Roman"/>
          <w:b/>
          <w:bCs/>
          <w:iCs/>
          <w:lang w:eastAsia="tr-TR"/>
        </w:rPr>
      </w:pPr>
      <w:bookmarkStart w:id="0" w:name="_Toc284499611"/>
      <w:bookmarkStart w:id="1" w:name="_Toc284499872"/>
      <w:bookmarkStart w:id="2" w:name="_Toc284500132"/>
      <w:bookmarkStart w:id="3" w:name="_Toc284500382"/>
      <w:bookmarkStart w:id="4" w:name="_Toc284579158"/>
      <w:bookmarkStart w:id="5" w:name="_Toc285554109"/>
      <w:r w:rsidRPr="006A0D58">
        <w:rPr>
          <w:rFonts w:ascii="Times New Roman" w:eastAsia="Times New Roman" w:hAnsi="Times New Roman" w:cs="Times New Roman"/>
          <w:b/>
          <w:bCs/>
          <w:iCs/>
          <w:lang w:eastAsia="tr-TR"/>
        </w:rPr>
        <w:t xml:space="preserve">Amasya Genelgesi </w:t>
      </w:r>
      <w:bookmarkEnd w:id="0"/>
      <w:bookmarkEnd w:id="1"/>
      <w:bookmarkEnd w:id="2"/>
      <w:bookmarkEnd w:id="3"/>
      <w:bookmarkEnd w:id="4"/>
      <w:bookmarkEnd w:id="5"/>
    </w:p>
    <w:p w14:paraId="3BFC89DE" w14:textId="77777777" w:rsidR="002A5190" w:rsidRPr="006A0D58" w:rsidRDefault="002A5190" w:rsidP="002A5190">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Geri çağrılma olayı, Mustafa Kemal Paşa ve yakın çalışma arkadaşlarını, ülke gerçeklerini halka ve orduya daha sarsıcı şekilde duyurmaya yöneltmiştir. Beraberindeki Refet Bey ile birlikte Havza’dan Amasya’ya geçen ve burada Ali Fuat Paşa ve Rauf Bey ile buluşan Mustafa Kemal Paşa, Erzurum’daki Kazım Karabekir Paşa ve Konya’daki Mersinli Cemal Paşa ile de telgraf haberleşmesi vasıtayla görüşerek, 22 Haziran 1919’da Amasya Genelgesi’nin yayınlanmasını sağlamıştır. Anadolu’daki ihtilalin başlangıç bildirisi de sayılan ve askeri-sivil yöneticilere gönderilen Genelge’de yer alan hükümler şunlardır:</w:t>
      </w:r>
      <w:r w:rsidRPr="006A0D58">
        <w:rPr>
          <w:rFonts w:ascii="Times New Roman" w:eastAsia="Times New Roman" w:hAnsi="Times New Roman" w:cs="Times New Roman"/>
          <w:vertAlign w:val="superscript"/>
          <w:lang w:eastAsia="tr-TR"/>
        </w:rPr>
        <w:footnoteReference w:id="4"/>
      </w:r>
    </w:p>
    <w:p w14:paraId="6241DC4B" w14:textId="77777777" w:rsidR="002A5190" w:rsidRPr="006A0D58" w:rsidRDefault="002A5190" w:rsidP="002A5190">
      <w:pPr>
        <w:numPr>
          <w:ilvl w:val="0"/>
          <w:numId w:val="1"/>
        </w:numPr>
        <w:spacing w:after="120" w:line="240" w:lineRule="auto"/>
        <w:ind w:left="720" w:hanging="11"/>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Yurdun bütünlüğü, ulusun bağımsızlığı tehlikededir.</w:t>
      </w:r>
    </w:p>
    <w:p w14:paraId="13AD1080" w14:textId="77777777" w:rsidR="002A5190" w:rsidRPr="006A0D58" w:rsidRDefault="002A5190" w:rsidP="002A5190">
      <w:pPr>
        <w:numPr>
          <w:ilvl w:val="0"/>
          <w:numId w:val="1"/>
        </w:numPr>
        <w:spacing w:after="120" w:line="240" w:lineRule="auto"/>
        <w:ind w:left="720" w:hanging="11"/>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 xml:space="preserve">İstanbul’daki hükümet, üstlendiği sorumluluğun gereklerini yerine getirememektedir. Bu durum ulusumuzu yok olmuş gibi göstermektedir. </w:t>
      </w:r>
    </w:p>
    <w:p w14:paraId="715EBD83" w14:textId="77777777" w:rsidR="002A5190" w:rsidRPr="006A0D58" w:rsidRDefault="002A5190" w:rsidP="002A5190">
      <w:pPr>
        <w:numPr>
          <w:ilvl w:val="0"/>
          <w:numId w:val="1"/>
        </w:numPr>
        <w:spacing w:after="120" w:line="240" w:lineRule="auto"/>
        <w:ind w:left="720" w:hanging="11"/>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Ulusun bağımsızlığını yine ulusun azim ve kararı kurtaracaktır.</w:t>
      </w:r>
    </w:p>
    <w:p w14:paraId="5A994193" w14:textId="77777777" w:rsidR="002A5190" w:rsidRPr="006A0D58" w:rsidRDefault="002A5190" w:rsidP="002A5190">
      <w:pPr>
        <w:numPr>
          <w:ilvl w:val="0"/>
          <w:numId w:val="1"/>
        </w:numPr>
        <w:spacing w:after="120" w:line="240" w:lineRule="auto"/>
        <w:ind w:left="720" w:hanging="11"/>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Ulusun durumunu ve davranışını göz önünde tutmak ve haklarını dile getirip bütün dünyaya duyurmak için her türlü etkiden ve denetimden uzak ulusal bir kurulun varlığı çok gereklidir.</w:t>
      </w:r>
    </w:p>
    <w:p w14:paraId="44758F53" w14:textId="77777777" w:rsidR="002A5190" w:rsidRPr="006A0D58" w:rsidRDefault="002A5190" w:rsidP="002A5190">
      <w:pPr>
        <w:numPr>
          <w:ilvl w:val="0"/>
          <w:numId w:val="1"/>
        </w:numPr>
        <w:spacing w:after="120" w:line="240" w:lineRule="auto"/>
        <w:ind w:left="720" w:hanging="11"/>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Anadolu’nun her yönden en güvenli yeri olan Sivas’ta ulusal bir kongre tez elden toplanacaktır.</w:t>
      </w:r>
    </w:p>
    <w:p w14:paraId="6D0844B5" w14:textId="77777777" w:rsidR="002A5190" w:rsidRPr="006A0D58" w:rsidRDefault="002A5190" w:rsidP="002A5190">
      <w:pPr>
        <w:numPr>
          <w:ilvl w:val="0"/>
          <w:numId w:val="1"/>
        </w:numPr>
        <w:spacing w:after="120" w:line="240" w:lineRule="auto"/>
        <w:ind w:left="720" w:firstLine="709"/>
        <w:contextualSpacing/>
        <w:jc w:val="both"/>
        <w:rPr>
          <w:rFonts w:ascii="Times New Roman" w:eastAsia="Calibri" w:hAnsi="Times New Roman" w:cs="Times New Roman"/>
          <w:lang w:eastAsia="tr-TR"/>
        </w:rPr>
      </w:pPr>
      <w:r w:rsidRPr="006A0D58">
        <w:rPr>
          <w:rFonts w:ascii="Times New Roman" w:eastAsia="Calibri" w:hAnsi="Times New Roman" w:cs="Times New Roman"/>
          <w:lang w:eastAsia="tr-TR"/>
        </w:rPr>
        <w:t>Bu kongre için her ilden üçer temsilci seçilip, gönderilmelidir. Bu temsilcilerin seçimi belediyeler ve Müdafaa-ı Hukuk Cemiyetleri tarafından yapılacaktır.</w:t>
      </w:r>
    </w:p>
    <w:p w14:paraId="7140C09F" w14:textId="77777777" w:rsidR="002A5190" w:rsidRDefault="002A5190" w:rsidP="002A5190">
      <w:pPr>
        <w:spacing w:before="240" w:after="24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Amasya Genelgesi, Kurtuluş Savaşı’nın gerekçesi, yöntemi ve amacını açıklayan ve Türk ulusunu mücadeleye çağıran ihtilal bildirgesi olarak kabul edilmektedir. Yurdun bağımsızlığının tehdit </w:t>
      </w:r>
      <w:r w:rsidRPr="006A0D58">
        <w:rPr>
          <w:rFonts w:ascii="Times New Roman" w:eastAsia="Times New Roman" w:hAnsi="Times New Roman" w:cs="Times New Roman"/>
          <w:lang w:eastAsia="tr-TR"/>
        </w:rPr>
        <w:lastRenderedPageBreak/>
        <w:t>altında olduğu belirtilirken, İstanbul Hükümetinin sorumluluklarını yerine getirmediği vurgulanmıştır.</w:t>
      </w:r>
      <w:r w:rsidRPr="006A0D58">
        <w:rPr>
          <w:rFonts w:ascii="Times New Roman" w:eastAsia="Times New Roman" w:hAnsi="Times New Roman" w:cs="Times New Roman"/>
          <w:vertAlign w:val="superscript"/>
          <w:lang w:eastAsia="tr-TR"/>
        </w:rPr>
        <w:footnoteReference w:id="5"/>
      </w:r>
      <w:r w:rsidRPr="006A0D58">
        <w:rPr>
          <w:rFonts w:ascii="Times New Roman" w:eastAsia="Times New Roman" w:hAnsi="Times New Roman" w:cs="Times New Roman"/>
          <w:lang w:eastAsia="tr-TR"/>
        </w:rPr>
        <w:t xml:space="preserve"> Ülkenin kaderinin halkın mücadelesi ile şekilleneceğine yer verilmesinden dolayı da,  halk egemenliğine yönelişin ilk adımı olarak kabul edilmektedir.</w:t>
      </w:r>
    </w:p>
    <w:p w14:paraId="5C2A911E"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AA8B" w14:textId="77777777" w:rsidR="00B248E9" w:rsidRDefault="00B248E9" w:rsidP="002A5190">
      <w:pPr>
        <w:spacing w:after="0" w:line="240" w:lineRule="auto"/>
      </w:pPr>
      <w:r>
        <w:separator/>
      </w:r>
    </w:p>
  </w:endnote>
  <w:endnote w:type="continuationSeparator" w:id="0">
    <w:p w14:paraId="6BBC5141" w14:textId="77777777" w:rsidR="00B248E9" w:rsidRDefault="00B248E9" w:rsidP="002A5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19A0" w14:textId="77777777" w:rsidR="00B248E9" w:rsidRDefault="00B248E9" w:rsidP="002A5190">
      <w:pPr>
        <w:spacing w:after="0" w:line="240" w:lineRule="auto"/>
      </w:pPr>
      <w:r>
        <w:separator/>
      </w:r>
    </w:p>
  </w:footnote>
  <w:footnote w:type="continuationSeparator" w:id="0">
    <w:p w14:paraId="7F86C126" w14:textId="77777777" w:rsidR="00B248E9" w:rsidRDefault="00B248E9" w:rsidP="002A5190">
      <w:pPr>
        <w:spacing w:after="0" w:line="240" w:lineRule="auto"/>
      </w:pPr>
      <w:r>
        <w:continuationSeparator/>
      </w:r>
    </w:p>
  </w:footnote>
  <w:footnote w:id="1">
    <w:p w14:paraId="4D89A669" w14:textId="77777777" w:rsidR="002A5190" w:rsidRPr="00FB7208" w:rsidRDefault="002A5190" w:rsidP="002A5190">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Gotthard Jaeschke, </w:t>
      </w:r>
      <w:r w:rsidRPr="00FB7208">
        <w:rPr>
          <w:b/>
          <w:sz w:val="18"/>
          <w:szCs w:val="18"/>
        </w:rPr>
        <w:t xml:space="preserve">Türk Kurtuluş Savaşı Kronolojisi, Mondros’tan Mudanya’ya Kadar  (30 Ekim 1918- 11 Ekim </w:t>
      </w:r>
      <w:smartTag w:uri="urn:schemas-microsoft-com:office:smarttags" w:element="metricconverter">
        <w:smartTagPr>
          <w:attr w:name="ProductID" w:val="1922, C"/>
        </w:smartTagPr>
        <w:r w:rsidRPr="00FB7208">
          <w:rPr>
            <w:b/>
            <w:sz w:val="18"/>
            <w:szCs w:val="18"/>
          </w:rPr>
          <w:t>1922</w:t>
        </w:r>
        <w:r w:rsidRPr="00FB7208">
          <w:rPr>
            <w:sz w:val="18"/>
            <w:szCs w:val="18"/>
          </w:rPr>
          <w:t>, C</w:t>
        </w:r>
      </w:smartTag>
      <w:r w:rsidRPr="00FB7208">
        <w:rPr>
          <w:sz w:val="18"/>
          <w:szCs w:val="18"/>
        </w:rPr>
        <w:t>. I, TTK Yay., 2. B., Ankara, 1989, s. 38.</w:t>
      </w:r>
    </w:p>
  </w:footnote>
  <w:footnote w:id="2">
    <w:p w14:paraId="34C1F8D1" w14:textId="77777777" w:rsidR="002A5190" w:rsidRPr="00FB7208" w:rsidRDefault="002A5190" w:rsidP="002A5190">
      <w:pPr>
        <w:pStyle w:val="DipnotMetni"/>
        <w:ind w:left="284" w:hanging="284"/>
        <w:jc w:val="both"/>
        <w:rPr>
          <w:sz w:val="18"/>
          <w:szCs w:val="18"/>
          <w:highlight w:val="yellow"/>
        </w:rPr>
      </w:pPr>
      <w:r w:rsidRPr="00FB7208">
        <w:rPr>
          <w:rStyle w:val="DipnotBavurusu"/>
          <w:sz w:val="18"/>
          <w:szCs w:val="18"/>
        </w:rPr>
        <w:footnoteRef/>
      </w:r>
      <w:r w:rsidRPr="00FB7208">
        <w:rPr>
          <w:sz w:val="18"/>
          <w:szCs w:val="18"/>
        </w:rPr>
        <w:t xml:space="preserve"> </w:t>
      </w:r>
      <w:r w:rsidRPr="00FB7208">
        <w:rPr>
          <w:sz w:val="18"/>
          <w:szCs w:val="18"/>
        </w:rPr>
        <w:tab/>
      </w:r>
      <w:r w:rsidRPr="00FB7208">
        <w:rPr>
          <w:b/>
          <w:sz w:val="18"/>
          <w:szCs w:val="18"/>
        </w:rPr>
        <w:t>Atatürk’ün Bütün Eserleri (1915-1919)</w:t>
      </w:r>
      <w:r w:rsidRPr="00FB7208">
        <w:rPr>
          <w:sz w:val="18"/>
          <w:szCs w:val="18"/>
        </w:rPr>
        <w:t xml:space="preserve">, C. II, Kaynak Yay., İstanbul, 1999, s. 334. </w:t>
      </w:r>
    </w:p>
  </w:footnote>
  <w:footnote w:id="3">
    <w:p w14:paraId="10732845" w14:textId="77777777" w:rsidR="002A5190" w:rsidRPr="00FB7208" w:rsidRDefault="002A5190" w:rsidP="002A5190">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r w:rsidRPr="00FB7208">
        <w:rPr>
          <w:b/>
          <w:sz w:val="18"/>
          <w:szCs w:val="18"/>
        </w:rPr>
        <w:t>Nutuk</w:t>
      </w:r>
      <w:r w:rsidRPr="00FB7208">
        <w:rPr>
          <w:sz w:val="18"/>
          <w:szCs w:val="18"/>
        </w:rPr>
        <w:t xml:space="preserve">, C. I, s. 29–30. </w:t>
      </w:r>
    </w:p>
  </w:footnote>
  <w:footnote w:id="4">
    <w:p w14:paraId="2CDC9757" w14:textId="77777777" w:rsidR="002A5190" w:rsidRPr="00FB7208" w:rsidRDefault="002A5190" w:rsidP="002A5190">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r w:rsidRPr="00FB7208">
        <w:rPr>
          <w:b/>
          <w:sz w:val="18"/>
          <w:szCs w:val="18"/>
        </w:rPr>
        <w:t>Nutuk</w:t>
      </w:r>
      <w:r w:rsidRPr="00FB7208">
        <w:rPr>
          <w:sz w:val="18"/>
          <w:szCs w:val="18"/>
        </w:rPr>
        <w:t>, C. III, s. 53–54.</w:t>
      </w:r>
    </w:p>
  </w:footnote>
  <w:footnote w:id="5">
    <w:p w14:paraId="25A6A7E5" w14:textId="77777777" w:rsidR="002A5190" w:rsidRPr="00FB7208" w:rsidRDefault="002A5190" w:rsidP="002A5190">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Şevket Süreyya Aydemir, </w:t>
      </w:r>
      <w:r w:rsidRPr="00FB7208">
        <w:rPr>
          <w:b/>
          <w:sz w:val="18"/>
          <w:szCs w:val="18"/>
        </w:rPr>
        <w:t xml:space="preserve">Tek Adam Mustafa Kemal (1919–1922), </w:t>
      </w:r>
      <w:r w:rsidRPr="00FB7208">
        <w:rPr>
          <w:sz w:val="18"/>
          <w:szCs w:val="18"/>
        </w:rPr>
        <w:t>C. II, 2. B., Remzi Kitabevi, İstanbul, 1966,</w:t>
      </w:r>
      <w:r w:rsidRPr="00FB7208">
        <w:rPr>
          <w:b/>
          <w:sz w:val="18"/>
          <w:szCs w:val="18"/>
        </w:rPr>
        <w:t xml:space="preserve"> </w:t>
      </w:r>
      <w:r w:rsidRPr="00FB7208">
        <w:rPr>
          <w:sz w:val="18"/>
          <w:szCs w:val="18"/>
        </w:rPr>
        <w:t>s. 34–36.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D1C34"/>
    <w:multiLevelType w:val="hybridMultilevel"/>
    <w:tmpl w:val="7FAC84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0B"/>
    <w:rsid w:val="00000D0B"/>
    <w:rsid w:val="002A5190"/>
    <w:rsid w:val="00310A62"/>
    <w:rsid w:val="003B68EF"/>
    <w:rsid w:val="00744A06"/>
    <w:rsid w:val="00A04EC4"/>
    <w:rsid w:val="00B248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73B6CB"/>
  <w15:chartTrackingRefBased/>
  <w15:docId w15:val="{41E923D3-9476-4DA0-8620-5A8E5B73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1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2A5190"/>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2A5190"/>
    <w:rPr>
      <w:sz w:val="20"/>
      <w:szCs w:val="20"/>
    </w:rPr>
  </w:style>
  <w:style w:type="character" w:customStyle="1" w:styleId="DipnotMetniChar1">
    <w:name w:val="Dipnot Metni Char1"/>
    <w:aliases w:val="Char Char"/>
    <w:link w:val="DipnotMetni"/>
    <w:uiPriority w:val="99"/>
    <w:rsid w:val="002A5190"/>
    <w:rPr>
      <w:rFonts w:ascii="Times New Roman" w:eastAsia="Calibri" w:hAnsi="Times New Roman" w:cs="Times New Roman"/>
      <w:sz w:val="20"/>
      <w:szCs w:val="20"/>
      <w:lang w:val="x-none" w:eastAsia="x-none"/>
    </w:rPr>
  </w:style>
  <w:style w:type="character" w:styleId="DipnotBavurusu">
    <w:name w:val="footnote reference"/>
    <w:qFormat/>
    <w:rsid w:val="002A519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2017-11-15T19:13:00Z</dcterms:created>
  <dcterms:modified xsi:type="dcterms:W3CDTF">2024-09-10T08:21:00Z</dcterms:modified>
</cp:coreProperties>
</file>