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1296A" w14:textId="77777777" w:rsidR="006D5C23" w:rsidRPr="00B80BDC" w:rsidRDefault="006D5C23" w:rsidP="006D5C23">
      <w:pPr>
        <w:spacing w:after="0" w:line="240" w:lineRule="auto"/>
        <w:ind w:left="567" w:hanging="567"/>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ANKARA ÜNİVERSİTESİ TÜRK İNKILAP TARİHİ ENSTİTÜSÜ</w:t>
      </w:r>
    </w:p>
    <w:p w14:paraId="6BFEA05F" w14:textId="77777777" w:rsidR="006D5C23" w:rsidRPr="00B80BDC" w:rsidRDefault="006D5C23" w:rsidP="006D5C23">
      <w:pPr>
        <w:spacing w:after="0" w:line="240" w:lineRule="auto"/>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 xml:space="preserve">“ATATÜRK İLKELERİ VE İNKILAP TARİHİ” </w:t>
      </w:r>
    </w:p>
    <w:p w14:paraId="225B5230" w14:textId="009FDFDA" w:rsidR="006D5C23" w:rsidRDefault="006D5C23" w:rsidP="006D5C23">
      <w:pPr>
        <w:spacing w:after="240" w:line="240" w:lineRule="auto"/>
        <w:jc w:val="center"/>
        <w:rPr>
          <w:rFonts w:ascii="Times New Roman" w:eastAsia="Calibri" w:hAnsi="Times New Roman" w:cs="Times New Roman"/>
          <w:b/>
          <w:lang w:val="x-none" w:eastAsia="x-none"/>
        </w:rPr>
      </w:pPr>
      <w:r w:rsidRPr="00B80BDC">
        <w:rPr>
          <w:rFonts w:ascii="Times New Roman" w:eastAsia="Calibri" w:hAnsi="Times New Roman" w:cs="Times New Roman"/>
          <w:b/>
          <w:lang w:val="x-none" w:eastAsia="x-none"/>
        </w:rPr>
        <w:t>ATA-1</w:t>
      </w:r>
      <w:r w:rsidR="00F635FD">
        <w:rPr>
          <w:rFonts w:ascii="Times New Roman" w:eastAsia="Calibri" w:hAnsi="Times New Roman" w:cs="Times New Roman"/>
          <w:b/>
          <w:lang w:eastAsia="x-none"/>
        </w:rPr>
        <w:t>16</w:t>
      </w:r>
      <w:r w:rsidRPr="00B80BDC">
        <w:rPr>
          <w:rFonts w:ascii="Times New Roman" w:eastAsia="Calibri" w:hAnsi="Times New Roman" w:cs="Times New Roman"/>
          <w:b/>
          <w:lang w:val="x-none" w:eastAsia="x-none"/>
        </w:rPr>
        <w:t xml:space="preserve"> DERS İÇERİKLERİ</w:t>
      </w:r>
    </w:p>
    <w:tbl>
      <w:tblPr>
        <w:tblW w:w="8921" w:type="dxa"/>
        <w:tblInd w:w="80" w:type="dxa"/>
        <w:tblCellMar>
          <w:left w:w="70" w:type="dxa"/>
          <w:right w:w="70" w:type="dxa"/>
        </w:tblCellMar>
        <w:tblLook w:val="04A0" w:firstRow="1" w:lastRow="0" w:firstColumn="1" w:lastColumn="0" w:noHBand="0" w:noVBand="1"/>
      </w:tblPr>
      <w:tblGrid>
        <w:gridCol w:w="1408"/>
        <w:gridCol w:w="7513"/>
      </w:tblGrid>
      <w:tr w:rsidR="006D5C23" w:rsidRPr="00B80BDC" w14:paraId="77419D85" w14:textId="77777777" w:rsidTr="000B0BFF">
        <w:trPr>
          <w:trHeight w:val="450"/>
        </w:trPr>
        <w:tc>
          <w:tcPr>
            <w:tcW w:w="1408" w:type="dxa"/>
            <w:vMerge w:val="restart"/>
            <w:tcBorders>
              <w:top w:val="single" w:sz="4" w:space="0" w:color="auto"/>
              <w:left w:val="single" w:sz="8" w:space="0" w:color="auto"/>
              <w:bottom w:val="single" w:sz="4" w:space="0" w:color="auto"/>
              <w:right w:val="single" w:sz="4" w:space="0" w:color="auto"/>
            </w:tcBorders>
            <w:shd w:val="clear" w:color="000000" w:fill="FFFFFF"/>
            <w:vAlign w:val="center"/>
            <w:hideMark/>
          </w:tcPr>
          <w:p w14:paraId="246CCC70" w14:textId="77777777" w:rsidR="006D5C23" w:rsidRPr="00B80BDC" w:rsidRDefault="006D5C23" w:rsidP="000B0BFF">
            <w:pPr>
              <w:spacing w:after="0" w:line="240" w:lineRule="auto"/>
              <w:jc w:val="center"/>
              <w:rPr>
                <w:rFonts w:ascii="Times New Roman" w:eastAsia="Times New Roman" w:hAnsi="Times New Roman" w:cs="Times New Roman"/>
                <w:b/>
                <w:color w:val="FF0000"/>
                <w:lang w:eastAsia="tr-TR"/>
              </w:rPr>
            </w:pPr>
            <w:r w:rsidRPr="00B80BDC">
              <w:rPr>
                <w:rFonts w:ascii="Times New Roman" w:eastAsia="Times New Roman" w:hAnsi="Times New Roman" w:cs="Times New Roman"/>
                <w:b/>
                <w:color w:val="FF0000"/>
                <w:lang w:eastAsia="tr-TR"/>
              </w:rPr>
              <w:t>6</w:t>
            </w:r>
          </w:p>
        </w:tc>
        <w:tc>
          <w:tcPr>
            <w:tcW w:w="7513"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7CEBA5B9" w14:textId="77777777" w:rsidR="006D5C23" w:rsidRPr="00B80BDC" w:rsidRDefault="006D5C23" w:rsidP="00BE09B6">
            <w:pPr>
              <w:spacing w:before="120" w:after="0" w:line="240" w:lineRule="auto"/>
              <w:jc w:val="center"/>
              <w:rPr>
                <w:rFonts w:ascii="Times New Roman" w:eastAsia="Times New Roman" w:hAnsi="Times New Roman" w:cs="Times New Roman"/>
                <w:b/>
                <w:color w:val="FF0000"/>
                <w:lang w:eastAsia="tr-TR"/>
              </w:rPr>
            </w:pPr>
            <w:r w:rsidRPr="00B80BDC">
              <w:rPr>
                <w:rFonts w:ascii="Times New Roman" w:eastAsia="Times New Roman" w:hAnsi="Times New Roman" w:cs="Times New Roman"/>
                <w:b/>
                <w:color w:val="FF0000"/>
                <w:lang w:eastAsia="tr-TR"/>
              </w:rPr>
              <w:t>Eğitim ve Kültür Alanında Yapılan Devrimler; Tevhid-i Tedrisat Kanunu; Yeni Türk Alfabesinin Kabul Edilmesi; Yeni Tarih ve Dil Anlayışı; Darülfünun’dan İstanbul Üniversitesi’ne; Güzel Sanatlar</w:t>
            </w:r>
          </w:p>
        </w:tc>
      </w:tr>
      <w:tr w:rsidR="006D5C23" w:rsidRPr="00B80BDC" w14:paraId="0F25FE8A" w14:textId="77777777" w:rsidTr="000B0BFF">
        <w:trPr>
          <w:trHeight w:val="1245"/>
        </w:trPr>
        <w:tc>
          <w:tcPr>
            <w:tcW w:w="1408" w:type="dxa"/>
            <w:vMerge/>
            <w:tcBorders>
              <w:top w:val="single" w:sz="4" w:space="0" w:color="auto"/>
              <w:left w:val="single" w:sz="8" w:space="0" w:color="auto"/>
              <w:bottom w:val="single" w:sz="4" w:space="0" w:color="auto"/>
              <w:right w:val="single" w:sz="4" w:space="0" w:color="auto"/>
            </w:tcBorders>
            <w:vAlign w:val="center"/>
            <w:hideMark/>
          </w:tcPr>
          <w:p w14:paraId="2B44E623" w14:textId="77777777" w:rsidR="006D5C23" w:rsidRPr="00B80BDC" w:rsidRDefault="006D5C23" w:rsidP="000B0BFF">
            <w:pPr>
              <w:spacing w:after="0" w:line="240" w:lineRule="auto"/>
              <w:jc w:val="center"/>
              <w:rPr>
                <w:rFonts w:ascii="Times New Roman" w:eastAsia="Times New Roman" w:hAnsi="Times New Roman" w:cs="Times New Roman"/>
                <w:b/>
                <w:color w:val="FF0000"/>
                <w:lang w:eastAsia="tr-TR"/>
              </w:rPr>
            </w:pPr>
          </w:p>
        </w:tc>
        <w:tc>
          <w:tcPr>
            <w:tcW w:w="7513" w:type="dxa"/>
            <w:vMerge/>
            <w:tcBorders>
              <w:top w:val="single" w:sz="4" w:space="0" w:color="auto"/>
              <w:left w:val="single" w:sz="4" w:space="0" w:color="auto"/>
              <w:bottom w:val="single" w:sz="4" w:space="0" w:color="000000"/>
              <w:right w:val="single" w:sz="4" w:space="0" w:color="auto"/>
            </w:tcBorders>
            <w:vAlign w:val="center"/>
            <w:hideMark/>
          </w:tcPr>
          <w:p w14:paraId="0D3D9912" w14:textId="77777777" w:rsidR="006D5C23" w:rsidRPr="00B80BDC" w:rsidRDefault="006D5C23" w:rsidP="000B0BFF">
            <w:pPr>
              <w:spacing w:after="0" w:line="240" w:lineRule="auto"/>
              <w:jc w:val="center"/>
              <w:rPr>
                <w:rFonts w:ascii="Times New Roman" w:eastAsia="Times New Roman" w:hAnsi="Times New Roman" w:cs="Times New Roman"/>
                <w:b/>
                <w:color w:val="FF0000"/>
                <w:lang w:eastAsia="tr-TR"/>
              </w:rPr>
            </w:pPr>
          </w:p>
        </w:tc>
      </w:tr>
    </w:tbl>
    <w:p w14:paraId="3FA2B40C" w14:textId="77777777" w:rsidR="006D5C23" w:rsidRPr="00B80BDC" w:rsidRDefault="006D5C23" w:rsidP="006D5C23">
      <w:pPr>
        <w:spacing w:before="120" w:after="120" w:line="240" w:lineRule="auto"/>
        <w:jc w:val="center"/>
        <w:rPr>
          <w:rFonts w:ascii="Times New Roman" w:eastAsia="Calibri" w:hAnsi="Times New Roman" w:cs="Times New Roman"/>
          <w:b/>
          <w:lang w:val="x-none" w:eastAsia="x-none"/>
        </w:rPr>
      </w:pPr>
      <w:r w:rsidRPr="00B80BDC">
        <w:rPr>
          <w:rFonts w:ascii="Times New Roman" w:eastAsia="Calibri" w:hAnsi="Times New Roman" w:cs="Times New Roman"/>
          <w:b/>
          <w:lang w:val="x-none" w:eastAsia="x-none"/>
        </w:rPr>
        <w:t>Eğitim ve Kültür Alanında Yapılan Devrimler</w:t>
      </w:r>
    </w:p>
    <w:p w14:paraId="5FE207E0" w14:textId="77777777" w:rsidR="006D5C23" w:rsidRPr="00B80BDC" w:rsidRDefault="006D5C23" w:rsidP="006D5C23">
      <w:pPr>
        <w:spacing w:after="120" w:line="240" w:lineRule="auto"/>
        <w:ind w:firstLine="709"/>
        <w:jc w:val="both"/>
        <w:rPr>
          <w:rFonts w:ascii="Times New Roman" w:eastAsia="Times New Roman" w:hAnsi="Times New Roman" w:cs="Times New Roman"/>
          <w:lang w:eastAsia="tr-TR"/>
        </w:rPr>
      </w:pPr>
      <w:r w:rsidRPr="00B80BDC">
        <w:rPr>
          <w:rFonts w:ascii="Times New Roman" w:eastAsia="Times New Roman" w:hAnsi="Times New Roman" w:cs="Times New Roman"/>
          <w:lang w:eastAsia="tr-TR"/>
        </w:rPr>
        <w:t>Osmanlı Devleti’nin gerileme nedenlerinden birisi de eğitim ve öğretim işlerinin yetersizliği ve yüzyıllar boyu ihmal edilmiş olmasıdır. Batılı devletler, 16. ve 17. yüzyıllarda basım tekniğini geliştirerek bilimsel yaklaşımla eğitim ve öğretime önem verirken, Osmanlı Devleti içine kapanmış ve batıdaki gelişmelerin dışında kalmıştır. Geçmiş yıllardaki üstünlüğünün de etkisiyle Batı’dan gelen yeniliklere mesafeli durmuş, her yeniliği, çağdaşlaşmayı, gelişmeyi kabul etmeyen hatta küçümseyen bir düşünceyle kendisini her türlü yenilik hareketlerinin dışında tutmuştur.</w:t>
      </w:r>
      <w:r w:rsidRPr="00B80BDC">
        <w:rPr>
          <w:rFonts w:ascii="Times New Roman" w:eastAsia="Times New Roman" w:hAnsi="Times New Roman" w:cs="Times New Roman"/>
          <w:vertAlign w:val="superscript"/>
          <w:lang w:eastAsia="tr-TR"/>
        </w:rPr>
        <w:footnoteReference w:id="1"/>
      </w:r>
    </w:p>
    <w:p w14:paraId="7D54FC34" w14:textId="77777777" w:rsidR="006D5C23" w:rsidRPr="00B80BDC" w:rsidRDefault="006D5C23" w:rsidP="006D5C23">
      <w:pPr>
        <w:spacing w:after="120" w:line="240" w:lineRule="auto"/>
        <w:ind w:firstLine="709"/>
        <w:jc w:val="both"/>
        <w:rPr>
          <w:rFonts w:ascii="Times New Roman" w:eastAsia="Times New Roman" w:hAnsi="Times New Roman" w:cs="Times New Roman"/>
          <w:lang w:eastAsia="tr-TR"/>
        </w:rPr>
      </w:pPr>
      <w:r w:rsidRPr="00B80BDC">
        <w:rPr>
          <w:rFonts w:ascii="Times New Roman" w:eastAsia="Times New Roman" w:hAnsi="Times New Roman" w:cs="Times New Roman"/>
          <w:lang w:eastAsia="tr-TR"/>
        </w:rPr>
        <w:t>Yeni Türk devleti, eğitim konusunda Osmanlı’dan son derece olumsuz bir miras devralmıştır. Eğitim ve kültürde birlik olmadığı gibi, okullaşma oranı düşük ve okuma yazma bilenlerin sayısı son derece azdı. Devlet, eğitimin dışında tutulmuş ve bu denetimsiz ortamda çok sayıda yabancı okullar başına buyruk bir şekilde faaliyet göstermişlerdir. Ulusal Bağımsızlık Savaşı’nın zaferle sonuçlandırılmasından sonra, yeni Türkiye’nin eğitime dayandığı ve en önemli, onurlu görevin eğitim işleri olduğu inancını taşıyan Mustafa Kemal Paşa, her gittiği yerde, katıldığı her toplantıda eğitimin temel ilke ve hedeflerini ortaya koyarak, cehaletin, ancak eğitim yoluyla ortadan kaldırılabileceğini vurgulamıştır.</w:t>
      </w:r>
      <w:r w:rsidRPr="00B80BDC">
        <w:rPr>
          <w:rFonts w:ascii="Times New Roman" w:eastAsia="Times New Roman" w:hAnsi="Times New Roman" w:cs="Times New Roman"/>
          <w:vertAlign w:val="superscript"/>
          <w:lang w:eastAsia="tr-TR"/>
        </w:rPr>
        <w:footnoteReference w:id="2"/>
      </w:r>
    </w:p>
    <w:p w14:paraId="405C634E" w14:textId="77777777" w:rsidR="006D5C23" w:rsidRPr="00B80BDC" w:rsidRDefault="006D5C23" w:rsidP="006D5C23">
      <w:pPr>
        <w:spacing w:after="120" w:line="240" w:lineRule="auto"/>
        <w:ind w:firstLine="709"/>
        <w:jc w:val="both"/>
        <w:rPr>
          <w:rFonts w:ascii="Times New Roman" w:eastAsia="Times New Roman" w:hAnsi="Times New Roman" w:cs="Times New Roman"/>
          <w:lang w:eastAsia="tr-TR"/>
        </w:rPr>
      </w:pPr>
      <w:r w:rsidRPr="00B80BDC">
        <w:rPr>
          <w:rFonts w:ascii="Times New Roman" w:eastAsia="Times New Roman" w:hAnsi="Times New Roman" w:cs="Times New Roman"/>
          <w:b/>
          <w:lang w:eastAsia="tr-TR"/>
        </w:rPr>
        <w:t>Tevhid-i Tedrisat Kanunu</w:t>
      </w:r>
    </w:p>
    <w:p w14:paraId="335A9076" w14:textId="77777777" w:rsidR="006D5C23" w:rsidRPr="00B80BDC" w:rsidRDefault="006D5C23" w:rsidP="006D5C23">
      <w:pPr>
        <w:spacing w:after="120" w:line="240" w:lineRule="auto"/>
        <w:ind w:firstLine="709"/>
        <w:jc w:val="both"/>
        <w:rPr>
          <w:rFonts w:ascii="Times New Roman" w:eastAsia="Times New Roman" w:hAnsi="Times New Roman" w:cs="Times New Roman"/>
          <w:lang w:eastAsia="tr-TR"/>
        </w:rPr>
      </w:pPr>
      <w:r w:rsidRPr="00B80BDC">
        <w:rPr>
          <w:rFonts w:ascii="Times New Roman" w:eastAsia="Times New Roman" w:hAnsi="Times New Roman" w:cs="Times New Roman"/>
          <w:lang w:eastAsia="tr-TR"/>
        </w:rPr>
        <w:t>Bu konuda atılan en önemli adım ise 3 Mart 1924’te Tevhid-i Tedrisat Kanunu’nun kabul edilmesi olmuştur.</w:t>
      </w:r>
      <w:r w:rsidRPr="00B80BDC">
        <w:rPr>
          <w:rFonts w:ascii="Times New Roman" w:eastAsia="Times New Roman" w:hAnsi="Times New Roman" w:cs="Times New Roman"/>
          <w:vertAlign w:val="superscript"/>
          <w:lang w:eastAsia="tr-TR"/>
        </w:rPr>
        <w:footnoteReference w:id="3"/>
      </w:r>
      <w:r w:rsidRPr="00B80BDC">
        <w:rPr>
          <w:rFonts w:ascii="Times New Roman" w:eastAsia="Times New Roman" w:hAnsi="Times New Roman" w:cs="Times New Roman"/>
          <w:lang w:eastAsia="tr-TR"/>
        </w:rPr>
        <w:t xml:space="preserve"> Kabul edilen Tevhid-i Tedrisat Kanunu ile Türkiye içerisindeki bütün bilim ve öğretim kurumları Maarif (Eğitim) Bakanlığı’na bağlanmıştır.</w:t>
      </w:r>
      <w:r w:rsidRPr="00B80BDC">
        <w:rPr>
          <w:rFonts w:ascii="Times New Roman" w:eastAsia="Times New Roman" w:hAnsi="Times New Roman" w:cs="Times New Roman"/>
          <w:vertAlign w:val="superscript"/>
          <w:lang w:eastAsia="tr-TR"/>
        </w:rPr>
        <w:footnoteReference w:id="4"/>
      </w:r>
      <w:r w:rsidRPr="00B80BDC">
        <w:rPr>
          <w:rFonts w:ascii="Times New Roman" w:eastAsia="Times New Roman" w:hAnsi="Times New Roman" w:cs="Times New Roman"/>
          <w:lang w:eastAsia="tr-TR"/>
        </w:rPr>
        <w:t xml:space="preserve"> Ayrıca öğretim kurumlarındaki </w:t>
      </w:r>
      <w:r w:rsidRPr="00B80BDC">
        <w:rPr>
          <w:rFonts w:ascii="Times New Roman" w:eastAsia="Times New Roman" w:hAnsi="Times New Roman" w:cs="Times New Roman"/>
          <w:iCs/>
          <w:lang w:eastAsia="tr-TR"/>
        </w:rPr>
        <w:t>medrese-okul, yabancı okul</w:t>
      </w:r>
      <w:r w:rsidRPr="00B80BDC">
        <w:rPr>
          <w:rFonts w:ascii="Times New Roman" w:eastAsia="Times New Roman" w:hAnsi="Times New Roman" w:cs="Times New Roman"/>
          <w:lang w:eastAsia="tr-TR"/>
        </w:rPr>
        <w:t xml:space="preserve"> diye içerikte ve amaçta birbirine zıt üçlü bölünmüşlüğe son verilmiş, eğitim kurumları üzerinde devlet kontrolü ve denetimi sağlanmıştır. Eski eğitim kurumları kaldırılmış ve medreseler kapatılmıştır.</w:t>
      </w:r>
      <w:r w:rsidRPr="00B80BDC">
        <w:rPr>
          <w:rFonts w:ascii="Times New Roman" w:eastAsia="Times New Roman" w:hAnsi="Times New Roman" w:cs="Times New Roman"/>
          <w:vertAlign w:val="superscript"/>
          <w:lang w:eastAsia="tr-TR"/>
        </w:rPr>
        <w:footnoteReference w:id="5"/>
      </w:r>
      <w:r w:rsidRPr="00B80BDC">
        <w:rPr>
          <w:rFonts w:ascii="Times New Roman" w:eastAsia="Times New Roman" w:hAnsi="Times New Roman" w:cs="Times New Roman"/>
          <w:lang w:eastAsia="tr-TR"/>
        </w:rPr>
        <w:t xml:space="preserve"> Böylece eğitimde dinin etkisi kırılarak ulusal, çağdaş, laik ve demokratik bir eğitim sistemi kurulmuştur. </w:t>
      </w:r>
    </w:p>
    <w:p w14:paraId="3464D2A3" w14:textId="77777777" w:rsidR="006D5C23" w:rsidRPr="00B80BDC" w:rsidRDefault="006D5C23" w:rsidP="006D5C23">
      <w:pPr>
        <w:spacing w:after="120" w:line="240" w:lineRule="auto"/>
        <w:ind w:firstLine="709"/>
        <w:jc w:val="both"/>
        <w:rPr>
          <w:rFonts w:ascii="Times New Roman" w:eastAsia="Times New Roman" w:hAnsi="Times New Roman" w:cs="Times New Roman"/>
          <w:lang w:eastAsia="tr-TR"/>
        </w:rPr>
      </w:pPr>
      <w:r w:rsidRPr="00B80BDC">
        <w:rPr>
          <w:rFonts w:ascii="Times New Roman" w:eastAsia="Times New Roman" w:hAnsi="Times New Roman" w:cs="Times New Roman"/>
          <w:b/>
          <w:lang w:eastAsia="tr-TR"/>
        </w:rPr>
        <w:t>Yeni Türk Alfabesinin Kabul Edilmesi</w:t>
      </w:r>
    </w:p>
    <w:p w14:paraId="1AF193E7" w14:textId="77777777" w:rsidR="006D5C23" w:rsidRPr="00B80BDC" w:rsidRDefault="006D5C23" w:rsidP="006D5C23">
      <w:pPr>
        <w:spacing w:after="120" w:line="240" w:lineRule="auto"/>
        <w:ind w:firstLine="709"/>
        <w:jc w:val="both"/>
        <w:rPr>
          <w:rFonts w:ascii="Times New Roman" w:eastAsia="Times New Roman" w:hAnsi="Times New Roman" w:cs="Times New Roman"/>
          <w:spacing w:val="-2"/>
          <w:lang w:eastAsia="tr-TR"/>
        </w:rPr>
      </w:pPr>
      <w:r w:rsidRPr="00B80BDC">
        <w:rPr>
          <w:rFonts w:ascii="Times New Roman" w:eastAsia="Times New Roman" w:hAnsi="Times New Roman" w:cs="Times New Roman"/>
          <w:lang w:eastAsia="tr-TR"/>
        </w:rPr>
        <w:t>Eğitim alanında gerçekleştirilen diğer bir yenilik de Latin harflerinin kabulü olmuştur.</w:t>
      </w:r>
      <w:r w:rsidRPr="00B80BDC">
        <w:rPr>
          <w:rFonts w:ascii="Times New Roman" w:eastAsia="Times New Roman" w:hAnsi="Times New Roman" w:cs="Times New Roman"/>
          <w:spacing w:val="-2"/>
          <w:lang w:eastAsia="tr-TR"/>
        </w:rPr>
        <w:t xml:space="preserve"> Yeni yazıyı ivedilikle yaygınlaştırarak toplumu cehaletten bir an önce kurtarmak için la </w:t>
      </w:r>
      <w:r w:rsidRPr="00B80BDC">
        <w:rPr>
          <w:rFonts w:ascii="Times New Roman" w:eastAsia="Times New Roman" w:hAnsi="Times New Roman" w:cs="Times New Roman"/>
          <w:iCs/>
          <w:spacing w:val="-2"/>
          <w:lang w:eastAsia="tr-TR"/>
        </w:rPr>
        <w:t>Millet Mektepleri</w:t>
      </w:r>
      <w:r w:rsidRPr="00B80BDC">
        <w:rPr>
          <w:rFonts w:ascii="Times New Roman" w:eastAsia="Times New Roman" w:hAnsi="Times New Roman" w:cs="Times New Roman"/>
          <w:spacing w:val="-2"/>
          <w:lang w:eastAsia="tr-TR"/>
        </w:rPr>
        <w:t xml:space="preserve"> açılmıştır. Millet Mektepleri, yeni alfabenin topluma öğretilmesi ve yeni bilgilerin aktarılması konusunda önemli bir işlev görmüştür. Türk toplumunda okuma-yazma bilenlerin sayısı hızla artmaya başlamış ve yeni Türk harflerini öğretmek için en büyük çabayı gösteren Mustafa Kemal Paşa’ya </w:t>
      </w:r>
      <w:r w:rsidRPr="00B80BDC">
        <w:rPr>
          <w:rFonts w:ascii="Times New Roman" w:eastAsia="Times New Roman" w:hAnsi="Times New Roman" w:cs="Times New Roman"/>
          <w:iCs/>
          <w:spacing w:val="-2"/>
          <w:lang w:eastAsia="tr-TR"/>
        </w:rPr>
        <w:t>Başöğretmen</w:t>
      </w:r>
      <w:r w:rsidRPr="00B80BDC">
        <w:rPr>
          <w:rFonts w:ascii="Times New Roman" w:eastAsia="Times New Roman" w:hAnsi="Times New Roman" w:cs="Times New Roman"/>
          <w:spacing w:val="-2"/>
          <w:lang w:eastAsia="tr-TR"/>
        </w:rPr>
        <w:t xml:space="preserve"> unvanı verilmiştir.</w:t>
      </w:r>
      <w:r w:rsidRPr="00B80BDC">
        <w:rPr>
          <w:rFonts w:ascii="Times New Roman" w:eastAsia="Times New Roman" w:hAnsi="Times New Roman" w:cs="Times New Roman"/>
          <w:spacing w:val="-2"/>
          <w:vertAlign w:val="superscript"/>
          <w:lang w:eastAsia="tr-TR"/>
        </w:rPr>
        <w:footnoteReference w:id="6"/>
      </w:r>
    </w:p>
    <w:p w14:paraId="40C3D2D8" w14:textId="77777777" w:rsidR="006D5C23" w:rsidRPr="00B80BDC" w:rsidRDefault="006D5C23" w:rsidP="006D5C23">
      <w:pPr>
        <w:spacing w:after="120" w:line="240" w:lineRule="auto"/>
        <w:ind w:firstLine="709"/>
        <w:jc w:val="both"/>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Yeni Tarih ve Dil Anlayışı</w:t>
      </w:r>
    </w:p>
    <w:p w14:paraId="337C7EB6" w14:textId="77777777" w:rsidR="006D5C23" w:rsidRPr="00B80BDC" w:rsidRDefault="006D5C23" w:rsidP="006D5C23">
      <w:pPr>
        <w:spacing w:after="120" w:line="240" w:lineRule="auto"/>
        <w:ind w:firstLine="709"/>
        <w:jc w:val="both"/>
        <w:rPr>
          <w:rFonts w:ascii="Times New Roman" w:eastAsia="Times New Roman" w:hAnsi="Times New Roman" w:cs="Times New Roman"/>
          <w:lang w:eastAsia="tr-TR"/>
        </w:rPr>
      </w:pPr>
      <w:r w:rsidRPr="00B80BDC">
        <w:rPr>
          <w:rFonts w:ascii="Times New Roman" w:eastAsia="Times New Roman" w:hAnsi="Times New Roman" w:cs="Times New Roman"/>
          <w:lang w:eastAsia="tr-TR"/>
        </w:rPr>
        <w:lastRenderedPageBreak/>
        <w:t xml:space="preserve">Osmanlı Devleti, çok uluslu bir imparatorluk olduğu için ulusal bir tarih anlayışı doğmamıştı. Dinin de etkisiyle İslâm tarihine ve hanedana dayanan bir tarih anlayışı vardı. Bu tarih anlayışında, Türklerin İslâmiyet öncesindeki varlıkları ve uygarlığa katkıları yok sayılmıştı. Oysa İslâmiyet öncesinde Orta Asya’da gelişmiş bir Türk kültür ve uygarlığı vardı. İlk olarak II. Meşrutiyet’le birlikte ulusal bir tarih anlayışı gündeme gelmişse de, bu çabalar yeterince etkili olamamış, ulusal tarih anlayışı ancak Cumhuriyet döneminde hayata geçmiştir. Böyle bir tarih anlayışının gelişmesinde yeni kurulan ulusal devletin varlığı çok etkili olmuştur. Bilimsel tarih araştırmaları için bilim adamlarını özendiren Mustafa Kemal Paşa, ulusal bir tarih anlayışının geliştirilmesi ve Türk tarihinin bilimsel olarak yeniden araştırılması amacıyla 12 Nisan 1931’de </w:t>
      </w:r>
      <w:r w:rsidRPr="00B80BDC">
        <w:rPr>
          <w:rFonts w:ascii="Times New Roman" w:eastAsia="Times New Roman" w:hAnsi="Times New Roman" w:cs="Times New Roman"/>
          <w:iCs/>
          <w:lang w:eastAsia="tr-TR"/>
        </w:rPr>
        <w:t>Türk Tarihi Tetkik Cemiyeti</w:t>
      </w:r>
      <w:r w:rsidRPr="00B80BDC">
        <w:rPr>
          <w:rFonts w:ascii="Times New Roman" w:eastAsia="Times New Roman" w:hAnsi="Times New Roman" w:cs="Times New Roman"/>
          <w:lang w:eastAsia="tr-TR"/>
        </w:rPr>
        <w:t>’nin kurulmasına önayak olmuştur.</w:t>
      </w:r>
      <w:r w:rsidRPr="00B80BDC">
        <w:rPr>
          <w:rFonts w:ascii="Times New Roman" w:eastAsia="Times New Roman" w:hAnsi="Times New Roman" w:cs="Times New Roman"/>
          <w:vertAlign w:val="superscript"/>
          <w:lang w:eastAsia="tr-TR"/>
        </w:rPr>
        <w:footnoteReference w:id="7"/>
      </w:r>
      <w:r w:rsidRPr="00B80BDC">
        <w:rPr>
          <w:rFonts w:ascii="Times New Roman" w:eastAsia="Times New Roman" w:hAnsi="Times New Roman" w:cs="Times New Roman"/>
          <w:lang w:eastAsia="tr-TR"/>
        </w:rPr>
        <w:t xml:space="preserve"> Türk tarihi üzerindeki araştırmalara resmi bir nitelik veren bu Cemiyet, 1935’te </w:t>
      </w:r>
      <w:r w:rsidRPr="00B80BDC">
        <w:rPr>
          <w:rFonts w:ascii="Times New Roman" w:eastAsia="Times New Roman" w:hAnsi="Times New Roman" w:cs="Times New Roman"/>
          <w:iCs/>
          <w:lang w:eastAsia="tr-TR"/>
        </w:rPr>
        <w:t>Türk Tarih Kurumu</w:t>
      </w:r>
      <w:r w:rsidRPr="00B80BDC">
        <w:rPr>
          <w:rFonts w:ascii="Times New Roman" w:eastAsia="Times New Roman" w:hAnsi="Times New Roman" w:cs="Times New Roman"/>
          <w:lang w:eastAsia="tr-TR"/>
        </w:rPr>
        <w:t xml:space="preserve"> adını alacaktır. </w:t>
      </w:r>
    </w:p>
    <w:p w14:paraId="4A15E894" w14:textId="77777777" w:rsidR="006D5C23" w:rsidRPr="00B80BDC" w:rsidRDefault="006D5C23" w:rsidP="006D5C23">
      <w:pPr>
        <w:spacing w:after="120" w:line="240" w:lineRule="auto"/>
        <w:ind w:firstLine="709"/>
        <w:jc w:val="both"/>
        <w:rPr>
          <w:rFonts w:ascii="Times New Roman" w:eastAsia="Times New Roman" w:hAnsi="Times New Roman" w:cs="Times New Roman"/>
          <w:bCs/>
          <w:lang w:eastAsia="tr-TR"/>
        </w:rPr>
      </w:pPr>
      <w:r w:rsidRPr="00B80BDC">
        <w:rPr>
          <w:rFonts w:ascii="Times New Roman" w:eastAsia="Times New Roman" w:hAnsi="Times New Roman" w:cs="Times New Roman"/>
          <w:bCs/>
          <w:lang w:eastAsia="tr-TR"/>
        </w:rPr>
        <w:t xml:space="preserve">Ulusal kültürün gelişmesinde tarih kadar, dil de önemlidir. Dil, bir ulusun geçmişten geleceğe kuşaklar arasındaki iletişimi ve devamlılığını sağlayan en önemli etkendir. Cumhuriyet öncesinde aydınlar ve bilim adamları Arapça ve Farsça kelimelerin ağırlıklı olduğu bir dil konuşurken, halk daha saf bir Türkçe konuşmaktaydı. Tanzimat’tan sonra Türk dilinde kullanılan yabancı kökenli kelimelere Fransızca da eklenmişti. Böylece dil birliği tamamen bozulmuş, Türkçe yabancı dillerden gelen kelimeler nedeniyle gerçek kimliğinden uzaklaşarak, bir sanat ve edebiyat dili olmaktan çıkmıştı. </w:t>
      </w:r>
      <w:r w:rsidRPr="00B80BDC">
        <w:rPr>
          <w:rFonts w:ascii="Times New Roman" w:eastAsia="Times New Roman" w:hAnsi="Times New Roman" w:cs="Times New Roman"/>
          <w:lang w:eastAsia="tr-TR"/>
        </w:rPr>
        <w:t xml:space="preserve">Türk dilini yabancı dillerin etkisinden kurtarmak amacıyla Mustafa Kemal Paşa tarafından başlatılan çalışmalar, 12 Temmuz 1932 tarihinde </w:t>
      </w:r>
      <w:r w:rsidRPr="00B80BDC">
        <w:rPr>
          <w:rFonts w:ascii="Times New Roman" w:eastAsia="Times New Roman" w:hAnsi="Times New Roman" w:cs="Times New Roman"/>
          <w:iCs/>
          <w:lang w:eastAsia="tr-TR"/>
        </w:rPr>
        <w:t>Türk Dili Tetkik Cemiyeti</w:t>
      </w:r>
      <w:r w:rsidRPr="00B80BDC">
        <w:rPr>
          <w:rFonts w:ascii="Times New Roman" w:eastAsia="Times New Roman" w:hAnsi="Times New Roman" w:cs="Times New Roman"/>
          <w:lang w:eastAsia="tr-TR"/>
        </w:rPr>
        <w:t>’nin kurulmasıyla sonuçlanmıştır.</w:t>
      </w:r>
      <w:r w:rsidRPr="00B80BDC">
        <w:rPr>
          <w:rFonts w:ascii="Times New Roman" w:eastAsia="Times New Roman" w:hAnsi="Times New Roman" w:cs="Times New Roman"/>
          <w:vertAlign w:val="superscript"/>
          <w:lang w:eastAsia="tr-TR"/>
        </w:rPr>
        <w:footnoteReference w:id="8"/>
      </w:r>
      <w:r w:rsidRPr="00B80BDC">
        <w:rPr>
          <w:rFonts w:ascii="Times New Roman" w:eastAsia="Times New Roman" w:hAnsi="Times New Roman" w:cs="Times New Roman"/>
          <w:bCs/>
          <w:lang w:eastAsia="tr-TR"/>
        </w:rPr>
        <w:t>Türk dilinin kaynakları, geçirdiği değişimler ve gelecekteki gelişmelerin esaslarını belirlemek amacıyla 26 Eylül 1932’de Dolmabahçe’de Birinci Dil Kurultayı toplanmış ve bu tarihten sonra çalışmalar hızlandırılmıştır.</w:t>
      </w:r>
      <w:r w:rsidRPr="00B80BDC">
        <w:rPr>
          <w:rFonts w:ascii="Times New Roman" w:eastAsia="Times New Roman" w:hAnsi="Times New Roman" w:cs="Times New Roman"/>
          <w:bCs/>
          <w:vertAlign w:val="superscript"/>
          <w:lang w:eastAsia="tr-TR"/>
        </w:rPr>
        <w:footnoteReference w:id="9"/>
      </w:r>
      <w:r w:rsidRPr="00B80BDC">
        <w:rPr>
          <w:rFonts w:ascii="Times New Roman" w:eastAsia="Times New Roman" w:hAnsi="Times New Roman" w:cs="Times New Roman"/>
          <w:bCs/>
          <w:lang w:eastAsia="tr-TR"/>
        </w:rPr>
        <w:t xml:space="preserve"> Bu çalışmalar sonucunda </w:t>
      </w:r>
      <w:r w:rsidRPr="00B80BDC">
        <w:rPr>
          <w:rFonts w:ascii="Times New Roman" w:eastAsia="Times New Roman" w:hAnsi="Times New Roman" w:cs="Times New Roman"/>
          <w:bCs/>
          <w:iCs/>
          <w:lang w:eastAsia="tr-TR"/>
        </w:rPr>
        <w:t>Türk Dili Tetkik Cemiyeti</w:t>
      </w:r>
      <w:r w:rsidRPr="00B80BDC">
        <w:rPr>
          <w:rFonts w:ascii="Times New Roman" w:eastAsia="Times New Roman" w:hAnsi="Times New Roman" w:cs="Times New Roman"/>
          <w:bCs/>
          <w:lang w:eastAsia="tr-TR"/>
        </w:rPr>
        <w:t xml:space="preserve">, 31 Ağustos 1936’da </w:t>
      </w:r>
      <w:r w:rsidRPr="00B80BDC">
        <w:rPr>
          <w:rFonts w:ascii="Times New Roman" w:eastAsia="Times New Roman" w:hAnsi="Times New Roman" w:cs="Times New Roman"/>
          <w:bCs/>
          <w:iCs/>
          <w:lang w:eastAsia="tr-TR"/>
        </w:rPr>
        <w:t>Türk Dil Kurumu</w:t>
      </w:r>
      <w:r w:rsidRPr="00B80BDC">
        <w:rPr>
          <w:rFonts w:ascii="Times New Roman" w:eastAsia="Times New Roman" w:hAnsi="Times New Roman" w:cs="Times New Roman"/>
          <w:bCs/>
          <w:lang w:eastAsia="tr-TR"/>
        </w:rPr>
        <w:t xml:space="preserve"> adını alacaktır. </w:t>
      </w:r>
    </w:p>
    <w:p w14:paraId="45885526" w14:textId="77777777" w:rsidR="006D5C23" w:rsidRPr="00B80BDC" w:rsidRDefault="006D5C23" w:rsidP="006D5C23">
      <w:pPr>
        <w:spacing w:after="120" w:line="240" w:lineRule="auto"/>
        <w:ind w:firstLine="709"/>
        <w:jc w:val="both"/>
        <w:rPr>
          <w:rFonts w:ascii="Times New Roman" w:eastAsia="Times New Roman" w:hAnsi="Times New Roman" w:cs="Times New Roman"/>
          <w:lang w:eastAsia="tr-TR"/>
        </w:rPr>
      </w:pPr>
      <w:r w:rsidRPr="00B80BDC">
        <w:rPr>
          <w:rFonts w:ascii="Times New Roman" w:eastAsia="Times New Roman" w:hAnsi="Times New Roman" w:cs="Times New Roman"/>
          <w:b/>
          <w:lang w:eastAsia="tr-TR"/>
        </w:rPr>
        <w:t>Darülfünun’dan İstanbul Üniversitesi’ne</w:t>
      </w:r>
    </w:p>
    <w:p w14:paraId="1A37756A" w14:textId="77777777" w:rsidR="006D5C23" w:rsidRDefault="006D5C23" w:rsidP="006D5C23">
      <w:pPr>
        <w:spacing w:before="120" w:after="360" w:line="240" w:lineRule="auto"/>
        <w:ind w:firstLine="709"/>
        <w:jc w:val="both"/>
        <w:rPr>
          <w:rFonts w:ascii="Times New Roman" w:eastAsia="Times New Roman" w:hAnsi="Times New Roman" w:cs="Times New Roman"/>
          <w:lang w:eastAsia="tr-TR"/>
        </w:rPr>
      </w:pPr>
      <w:r w:rsidRPr="00B80BDC">
        <w:rPr>
          <w:rFonts w:ascii="Times New Roman" w:eastAsia="Times New Roman" w:hAnsi="Times New Roman" w:cs="Times New Roman"/>
          <w:lang w:eastAsia="tr-TR"/>
        </w:rPr>
        <w:t>Osmanlı Devleti’nden Cumhuriyet dönemine devreden tek üniversite olarak 1933 yılına kadar varlığını sürdüren Darülfünun, Cumhuriyet dönemindeki devrim hareketleri ve bilimsel gelişmeler karşısında yetersiz kalmıştır. Bunun üzerine 1933 yılında kapatılmış, yerine İstanbul Üniversitesi kurulmuştur.</w:t>
      </w:r>
      <w:r w:rsidRPr="00B80BDC">
        <w:rPr>
          <w:rFonts w:ascii="Times New Roman" w:eastAsia="Times New Roman" w:hAnsi="Times New Roman" w:cs="Times New Roman"/>
          <w:vertAlign w:val="superscript"/>
          <w:lang w:eastAsia="tr-TR"/>
        </w:rPr>
        <w:footnoteReference w:id="10"/>
      </w:r>
      <w:r w:rsidRPr="00B80BDC">
        <w:rPr>
          <w:rFonts w:ascii="Times New Roman" w:eastAsia="Times New Roman" w:hAnsi="Times New Roman" w:cs="Times New Roman"/>
          <w:lang w:eastAsia="tr-TR"/>
        </w:rPr>
        <w:t xml:space="preserve">  Atatürk döneminde İstanbul Üniversitesi’nden başka, 1933 yılında Yüksek Ziraat Enstitüsü ve 1936’da Dil ve Tarih-Coğrafya Fakültesi kurulmuştur.</w:t>
      </w:r>
      <w:r w:rsidRPr="00B80BDC">
        <w:rPr>
          <w:rFonts w:ascii="Times New Roman" w:eastAsia="Times New Roman" w:hAnsi="Times New Roman" w:cs="Times New Roman"/>
          <w:vertAlign w:val="superscript"/>
          <w:lang w:eastAsia="tr-TR"/>
        </w:rPr>
        <w:footnoteReference w:id="11"/>
      </w:r>
      <w:r w:rsidRPr="00B80BDC">
        <w:rPr>
          <w:rFonts w:ascii="Times New Roman" w:eastAsia="Times New Roman" w:hAnsi="Times New Roman" w:cs="Times New Roman"/>
          <w:lang w:eastAsia="tr-TR"/>
        </w:rPr>
        <w:t xml:space="preserve"> Böylece 1946 yılında kurulacak olan Ankara Üniversitesi’nin temelleri de atılmıştır.</w:t>
      </w:r>
    </w:p>
    <w:p w14:paraId="5CA0187B" w14:textId="77777777" w:rsidR="00A04EC4" w:rsidRDefault="00A04EC4"/>
    <w:sectPr w:rsidR="00A04E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8AB1E" w14:textId="77777777" w:rsidR="00D53BBE" w:rsidRDefault="00D53BBE" w:rsidP="006D5C23">
      <w:pPr>
        <w:spacing w:after="0" w:line="240" w:lineRule="auto"/>
      </w:pPr>
      <w:r>
        <w:separator/>
      </w:r>
    </w:p>
  </w:endnote>
  <w:endnote w:type="continuationSeparator" w:id="0">
    <w:p w14:paraId="3AA7F4A8" w14:textId="77777777" w:rsidR="00D53BBE" w:rsidRDefault="00D53BBE" w:rsidP="006D5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82334" w14:textId="77777777" w:rsidR="00D53BBE" w:rsidRDefault="00D53BBE" w:rsidP="006D5C23">
      <w:pPr>
        <w:spacing w:after="0" w:line="240" w:lineRule="auto"/>
      </w:pPr>
      <w:r>
        <w:separator/>
      </w:r>
    </w:p>
  </w:footnote>
  <w:footnote w:type="continuationSeparator" w:id="0">
    <w:p w14:paraId="00205BA2" w14:textId="77777777" w:rsidR="00D53BBE" w:rsidRDefault="00D53BBE" w:rsidP="006D5C23">
      <w:pPr>
        <w:spacing w:after="0" w:line="240" w:lineRule="auto"/>
      </w:pPr>
      <w:r>
        <w:continuationSeparator/>
      </w:r>
    </w:p>
  </w:footnote>
  <w:footnote w:id="1">
    <w:p w14:paraId="2D0D3086" w14:textId="77777777" w:rsidR="006D5C23" w:rsidRPr="00FB7208" w:rsidRDefault="006D5C23" w:rsidP="006D5C23">
      <w:pPr>
        <w:pStyle w:val="DipnotMetni"/>
        <w:ind w:left="284" w:hanging="284"/>
        <w:jc w:val="both"/>
        <w:rPr>
          <w:sz w:val="18"/>
          <w:szCs w:val="18"/>
        </w:rPr>
      </w:pPr>
      <w:r w:rsidRPr="00FB7208">
        <w:rPr>
          <w:rStyle w:val="DipnotBavurusu"/>
          <w:sz w:val="18"/>
          <w:szCs w:val="18"/>
        </w:rPr>
        <w:footnoteRef/>
      </w:r>
      <w:r w:rsidRPr="00FB7208">
        <w:rPr>
          <w:sz w:val="18"/>
          <w:szCs w:val="18"/>
        </w:rPr>
        <w:t xml:space="preserve"> Yahya Akyüz, </w:t>
      </w:r>
      <w:r w:rsidRPr="00FB7208">
        <w:rPr>
          <w:b/>
          <w:bCs/>
          <w:sz w:val="18"/>
          <w:szCs w:val="18"/>
        </w:rPr>
        <w:t>Türk Eğitim Tarihi (Başlangıçtan 1985’e)</w:t>
      </w:r>
      <w:r w:rsidRPr="00FB7208">
        <w:rPr>
          <w:sz w:val="18"/>
          <w:szCs w:val="18"/>
        </w:rPr>
        <w:t>, A.Ü. Eğitim Bilimleri Fakültesi Yay., Ankara, 1985, s. 71.</w:t>
      </w:r>
    </w:p>
  </w:footnote>
  <w:footnote w:id="2">
    <w:p w14:paraId="6E0B4B7C" w14:textId="77777777" w:rsidR="006D5C23" w:rsidRPr="00FB7208" w:rsidRDefault="006D5C23" w:rsidP="006D5C23">
      <w:pPr>
        <w:pStyle w:val="DipnotMetni"/>
        <w:ind w:left="284" w:hanging="284"/>
        <w:jc w:val="both"/>
        <w:rPr>
          <w:sz w:val="18"/>
          <w:szCs w:val="18"/>
        </w:rPr>
      </w:pPr>
      <w:r w:rsidRPr="00FB7208">
        <w:rPr>
          <w:rStyle w:val="DipnotBavurusu"/>
          <w:sz w:val="18"/>
          <w:szCs w:val="18"/>
        </w:rPr>
        <w:footnoteRef/>
      </w:r>
      <w:r w:rsidRPr="00FB7208">
        <w:rPr>
          <w:sz w:val="18"/>
          <w:szCs w:val="18"/>
        </w:rPr>
        <w:t xml:space="preserve"> Özkan İzgi, </w:t>
      </w:r>
      <w:r w:rsidRPr="00FB7208">
        <w:rPr>
          <w:i/>
          <w:iCs/>
          <w:sz w:val="18"/>
          <w:szCs w:val="18"/>
        </w:rPr>
        <w:t>“Atatürk’ün Eğitim ve Üniversitelere Bakış Açısı”</w:t>
      </w:r>
      <w:r w:rsidRPr="00FB7208">
        <w:rPr>
          <w:sz w:val="18"/>
          <w:szCs w:val="18"/>
        </w:rPr>
        <w:t xml:space="preserve">, </w:t>
      </w:r>
      <w:r w:rsidRPr="00FB7208">
        <w:rPr>
          <w:b/>
          <w:bCs/>
          <w:sz w:val="18"/>
          <w:szCs w:val="18"/>
        </w:rPr>
        <w:t>Atatürk Araştırma Merkezi Dergisi</w:t>
      </w:r>
      <w:r w:rsidRPr="00FB7208">
        <w:rPr>
          <w:sz w:val="18"/>
          <w:szCs w:val="18"/>
        </w:rPr>
        <w:t>, C. I, No.1, (Kasım 1984), s. 266-267.</w:t>
      </w:r>
    </w:p>
  </w:footnote>
  <w:footnote w:id="3">
    <w:p w14:paraId="425BC6D6" w14:textId="77777777" w:rsidR="006D5C23" w:rsidRPr="00FB7208" w:rsidRDefault="006D5C23" w:rsidP="006D5C23">
      <w:pPr>
        <w:pStyle w:val="DipnotMetni"/>
        <w:ind w:left="284" w:hanging="284"/>
        <w:jc w:val="both"/>
        <w:rPr>
          <w:sz w:val="18"/>
          <w:szCs w:val="18"/>
        </w:rPr>
      </w:pPr>
      <w:r w:rsidRPr="00FB7208">
        <w:rPr>
          <w:rStyle w:val="DipnotBavurusu"/>
          <w:sz w:val="18"/>
          <w:szCs w:val="18"/>
        </w:rPr>
        <w:footnoteRef/>
      </w:r>
      <w:r w:rsidRPr="00FB7208">
        <w:rPr>
          <w:sz w:val="18"/>
          <w:szCs w:val="18"/>
        </w:rPr>
        <w:t xml:space="preserve"> Bekir Sıtkı Yalçın ve İsmet Gönülal, </w:t>
      </w:r>
      <w:r w:rsidRPr="00FB7208">
        <w:rPr>
          <w:b/>
          <w:bCs/>
          <w:sz w:val="18"/>
          <w:szCs w:val="18"/>
        </w:rPr>
        <w:t>Atatürk İnkılâbı, Kanunlar-Kararlar-Tamimler-Bildiriler-Belgeler-Gerekçe ve Tutanaklarıyla</w:t>
      </w:r>
      <w:r w:rsidRPr="00FB7208">
        <w:rPr>
          <w:sz w:val="18"/>
          <w:szCs w:val="18"/>
        </w:rPr>
        <w:t>, Kültür ve Turizm Bakanlığı Yay., Ankara, 1984, s. 97–98.</w:t>
      </w:r>
    </w:p>
  </w:footnote>
  <w:footnote w:id="4">
    <w:p w14:paraId="55E7E412" w14:textId="77777777" w:rsidR="006D5C23" w:rsidRPr="00FB7208" w:rsidRDefault="006D5C23" w:rsidP="006D5C23">
      <w:pPr>
        <w:pStyle w:val="DipnotMetni"/>
        <w:ind w:left="284" w:hanging="284"/>
        <w:jc w:val="both"/>
        <w:rPr>
          <w:sz w:val="18"/>
          <w:szCs w:val="18"/>
        </w:rPr>
      </w:pPr>
      <w:r w:rsidRPr="00FB7208">
        <w:rPr>
          <w:rStyle w:val="DipnotBavurusu"/>
          <w:sz w:val="18"/>
          <w:szCs w:val="18"/>
        </w:rPr>
        <w:footnoteRef/>
      </w:r>
      <w:r w:rsidRPr="00FB7208">
        <w:rPr>
          <w:b/>
          <w:bCs/>
          <w:sz w:val="18"/>
          <w:szCs w:val="18"/>
        </w:rPr>
        <w:t xml:space="preserve"> TBMM Tutanak Dergisi</w:t>
      </w:r>
      <w:r w:rsidRPr="00FB7208">
        <w:rPr>
          <w:sz w:val="18"/>
          <w:szCs w:val="18"/>
        </w:rPr>
        <w:t>, Dönem II, C. VII, s. 26, 29, 114.</w:t>
      </w:r>
    </w:p>
  </w:footnote>
  <w:footnote w:id="5">
    <w:p w14:paraId="3C2568B2" w14:textId="77777777" w:rsidR="006D5C23" w:rsidRPr="00FB7208" w:rsidRDefault="006D5C23" w:rsidP="006D5C23">
      <w:pPr>
        <w:pStyle w:val="DipnotMetni"/>
        <w:ind w:left="284" w:hanging="284"/>
        <w:jc w:val="both"/>
        <w:rPr>
          <w:sz w:val="18"/>
          <w:szCs w:val="18"/>
        </w:rPr>
      </w:pPr>
      <w:r w:rsidRPr="00FB7208">
        <w:rPr>
          <w:rStyle w:val="DipnotBavurusu"/>
          <w:sz w:val="18"/>
          <w:szCs w:val="18"/>
        </w:rPr>
        <w:footnoteRef/>
      </w:r>
      <w:r w:rsidRPr="00FB7208">
        <w:rPr>
          <w:sz w:val="18"/>
          <w:szCs w:val="18"/>
        </w:rPr>
        <w:t xml:space="preserve"> Gözler, </w:t>
      </w:r>
      <w:r w:rsidRPr="00FB7208">
        <w:rPr>
          <w:b/>
          <w:bCs/>
          <w:sz w:val="18"/>
          <w:szCs w:val="18"/>
        </w:rPr>
        <w:t>a.g.e.</w:t>
      </w:r>
      <w:r w:rsidRPr="00FB7208">
        <w:rPr>
          <w:sz w:val="18"/>
          <w:szCs w:val="18"/>
        </w:rPr>
        <w:t>,s. 161-164.</w:t>
      </w:r>
    </w:p>
  </w:footnote>
  <w:footnote w:id="6">
    <w:p w14:paraId="022E4C8F" w14:textId="77777777" w:rsidR="006D5C23" w:rsidRPr="00FB7208" w:rsidRDefault="006D5C23" w:rsidP="006D5C23">
      <w:pPr>
        <w:pStyle w:val="DipnotMetni"/>
        <w:ind w:left="284" w:hanging="284"/>
        <w:jc w:val="both"/>
        <w:rPr>
          <w:sz w:val="18"/>
          <w:szCs w:val="18"/>
        </w:rPr>
      </w:pPr>
      <w:r w:rsidRPr="00FB7208">
        <w:rPr>
          <w:rStyle w:val="DipnotBavurusu"/>
          <w:sz w:val="18"/>
          <w:szCs w:val="18"/>
        </w:rPr>
        <w:footnoteRef/>
      </w:r>
      <w:r w:rsidRPr="00FB7208">
        <w:rPr>
          <w:sz w:val="18"/>
          <w:szCs w:val="18"/>
        </w:rPr>
        <w:t xml:space="preserve"> Sami N Özerdim, </w:t>
      </w:r>
      <w:r w:rsidRPr="00FB7208">
        <w:rPr>
          <w:b/>
          <w:bCs/>
          <w:sz w:val="18"/>
          <w:szCs w:val="18"/>
        </w:rPr>
        <w:t>Yazı Devriminin Ölçüsü</w:t>
      </w:r>
      <w:r w:rsidRPr="00FB7208">
        <w:rPr>
          <w:sz w:val="18"/>
          <w:szCs w:val="18"/>
        </w:rPr>
        <w:t>, TDK Yay., Ankara, 1978, s. 40-45.</w:t>
      </w:r>
    </w:p>
  </w:footnote>
  <w:footnote w:id="7">
    <w:p w14:paraId="453BBFE6" w14:textId="77777777" w:rsidR="006D5C23" w:rsidRPr="00FB7208" w:rsidRDefault="006D5C23" w:rsidP="006D5C23">
      <w:pPr>
        <w:pStyle w:val="DipnotMetni"/>
        <w:ind w:left="284" w:hanging="284"/>
        <w:jc w:val="both"/>
        <w:rPr>
          <w:sz w:val="18"/>
          <w:szCs w:val="18"/>
        </w:rPr>
      </w:pPr>
      <w:r w:rsidRPr="00FB7208">
        <w:rPr>
          <w:rStyle w:val="DipnotBavurusu"/>
          <w:sz w:val="18"/>
          <w:szCs w:val="18"/>
        </w:rPr>
        <w:footnoteRef/>
      </w:r>
      <w:r w:rsidRPr="00FB7208">
        <w:rPr>
          <w:sz w:val="18"/>
          <w:szCs w:val="18"/>
        </w:rPr>
        <w:t xml:space="preserve"> Hasan Cemil Çambel, </w:t>
      </w:r>
      <w:r w:rsidRPr="00FB7208">
        <w:rPr>
          <w:i/>
          <w:iCs/>
          <w:sz w:val="18"/>
          <w:szCs w:val="18"/>
        </w:rPr>
        <w:t>“Atatürk ve Tarih”</w:t>
      </w:r>
      <w:r w:rsidRPr="00FB7208">
        <w:rPr>
          <w:sz w:val="18"/>
          <w:szCs w:val="18"/>
        </w:rPr>
        <w:t xml:space="preserve">, </w:t>
      </w:r>
      <w:r w:rsidRPr="00FB7208">
        <w:rPr>
          <w:b/>
          <w:bCs/>
          <w:sz w:val="18"/>
          <w:szCs w:val="18"/>
        </w:rPr>
        <w:t>Belleten</w:t>
      </w:r>
      <w:r w:rsidRPr="00FB7208">
        <w:rPr>
          <w:sz w:val="18"/>
          <w:szCs w:val="18"/>
        </w:rPr>
        <w:t>, C. III, No. 10, (1939), s. 270–271.</w:t>
      </w:r>
    </w:p>
  </w:footnote>
  <w:footnote w:id="8">
    <w:p w14:paraId="203DAC02" w14:textId="77777777" w:rsidR="006D5C23" w:rsidRPr="00C70942" w:rsidRDefault="006D5C23" w:rsidP="006D5C23">
      <w:pPr>
        <w:pStyle w:val="DipnotMetni"/>
        <w:ind w:left="284" w:hanging="284"/>
        <w:jc w:val="both"/>
        <w:rPr>
          <w:sz w:val="18"/>
          <w:szCs w:val="18"/>
        </w:rPr>
      </w:pPr>
      <w:r w:rsidRPr="00C70942">
        <w:rPr>
          <w:rStyle w:val="DipnotBavurusu"/>
          <w:sz w:val="18"/>
          <w:szCs w:val="18"/>
        </w:rPr>
        <w:footnoteRef/>
      </w:r>
      <w:r w:rsidRPr="00C70942">
        <w:rPr>
          <w:b/>
          <w:bCs/>
          <w:sz w:val="18"/>
          <w:szCs w:val="18"/>
        </w:rPr>
        <w:t xml:space="preserve"> Atatürk’ün Söylev ve Demeçleri</w:t>
      </w:r>
      <w:r w:rsidRPr="00C70942">
        <w:rPr>
          <w:sz w:val="18"/>
          <w:szCs w:val="18"/>
        </w:rPr>
        <w:t>, C. I, s. 390.</w:t>
      </w:r>
    </w:p>
  </w:footnote>
  <w:footnote w:id="9">
    <w:p w14:paraId="78FC7DD9" w14:textId="77777777" w:rsidR="006D5C23" w:rsidRPr="00C70942" w:rsidRDefault="006D5C23" w:rsidP="006D5C23">
      <w:pPr>
        <w:pStyle w:val="DipnotMetni"/>
        <w:ind w:left="284" w:hanging="284"/>
        <w:jc w:val="both"/>
        <w:rPr>
          <w:sz w:val="18"/>
          <w:szCs w:val="18"/>
        </w:rPr>
      </w:pPr>
      <w:r w:rsidRPr="00C70942">
        <w:rPr>
          <w:rStyle w:val="DipnotBavurusu"/>
          <w:sz w:val="18"/>
          <w:szCs w:val="18"/>
        </w:rPr>
        <w:footnoteRef/>
      </w:r>
      <w:r w:rsidRPr="00C70942">
        <w:rPr>
          <w:sz w:val="18"/>
          <w:szCs w:val="18"/>
        </w:rPr>
        <w:t xml:space="preserve"> Utkan Kocatürk, </w:t>
      </w:r>
      <w:r w:rsidRPr="00C70942">
        <w:rPr>
          <w:b/>
          <w:bCs/>
          <w:sz w:val="18"/>
          <w:szCs w:val="18"/>
        </w:rPr>
        <w:t>Atatürk ve Türkiye Cumhuriyeti Tarihi Kronolojisi</w:t>
      </w:r>
      <w:r w:rsidRPr="00C70942">
        <w:rPr>
          <w:sz w:val="18"/>
          <w:szCs w:val="18"/>
        </w:rPr>
        <w:t>, TTK Yay., Ankara, 1988, s. 538.</w:t>
      </w:r>
    </w:p>
  </w:footnote>
  <w:footnote w:id="10">
    <w:p w14:paraId="0974E5B9" w14:textId="77777777" w:rsidR="006D5C23" w:rsidRPr="00C70942" w:rsidRDefault="006D5C23" w:rsidP="006D5C23">
      <w:pPr>
        <w:pStyle w:val="DipnotMetni"/>
        <w:ind w:left="284" w:hanging="284"/>
        <w:jc w:val="both"/>
        <w:rPr>
          <w:sz w:val="18"/>
          <w:szCs w:val="18"/>
        </w:rPr>
      </w:pPr>
      <w:r w:rsidRPr="00C70942">
        <w:rPr>
          <w:rStyle w:val="DipnotBavurusu"/>
          <w:sz w:val="18"/>
          <w:szCs w:val="18"/>
        </w:rPr>
        <w:footnoteRef/>
      </w:r>
      <w:r w:rsidRPr="00C70942">
        <w:rPr>
          <w:sz w:val="18"/>
          <w:szCs w:val="18"/>
        </w:rPr>
        <w:t xml:space="preserve"> Mehmet Saray, </w:t>
      </w:r>
      <w:r w:rsidRPr="00C70942">
        <w:rPr>
          <w:b/>
          <w:bCs/>
          <w:sz w:val="18"/>
          <w:szCs w:val="18"/>
        </w:rPr>
        <w:t>İstanbul Üniversitesi Tarihi (1453–1993)</w:t>
      </w:r>
      <w:r w:rsidRPr="00C70942">
        <w:rPr>
          <w:sz w:val="18"/>
          <w:szCs w:val="18"/>
        </w:rPr>
        <w:t>, İstanbul Üniversitesi Yay., İstanbul, 1996, s. 47.</w:t>
      </w:r>
    </w:p>
  </w:footnote>
  <w:footnote w:id="11">
    <w:p w14:paraId="649D8F4B" w14:textId="77777777" w:rsidR="006D5C23" w:rsidRPr="00C70942" w:rsidRDefault="006D5C23" w:rsidP="006D5C23">
      <w:pPr>
        <w:pStyle w:val="DipnotMetni"/>
        <w:ind w:left="284" w:hanging="284"/>
        <w:jc w:val="both"/>
        <w:rPr>
          <w:sz w:val="18"/>
          <w:szCs w:val="18"/>
        </w:rPr>
      </w:pPr>
      <w:r w:rsidRPr="00C70942">
        <w:rPr>
          <w:rStyle w:val="DipnotBavurusu"/>
          <w:sz w:val="18"/>
          <w:szCs w:val="18"/>
        </w:rPr>
        <w:footnoteRef/>
      </w:r>
      <w:r w:rsidRPr="00C70942">
        <w:rPr>
          <w:sz w:val="18"/>
          <w:szCs w:val="18"/>
        </w:rPr>
        <w:t xml:space="preserve"> Şerafettin Turan, </w:t>
      </w:r>
      <w:r w:rsidRPr="00C70942">
        <w:rPr>
          <w:b/>
          <w:bCs/>
          <w:sz w:val="18"/>
          <w:szCs w:val="18"/>
        </w:rPr>
        <w:t>İsmet İnönü, Yaşamı, Dönemi ve Kişiliği</w:t>
      </w:r>
      <w:r w:rsidRPr="00C70942">
        <w:rPr>
          <w:i/>
          <w:iCs/>
          <w:sz w:val="18"/>
          <w:szCs w:val="18"/>
        </w:rPr>
        <w:t>,</w:t>
      </w:r>
      <w:r w:rsidRPr="00C70942">
        <w:rPr>
          <w:sz w:val="18"/>
          <w:szCs w:val="18"/>
        </w:rPr>
        <w:t xml:space="preserve"> Bilgi Yay., Ankara, 2000, s. 164–165.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61"/>
    <w:rsid w:val="00670E3B"/>
    <w:rsid w:val="006D5C23"/>
    <w:rsid w:val="00730356"/>
    <w:rsid w:val="00744A06"/>
    <w:rsid w:val="00A04EC4"/>
    <w:rsid w:val="00BE09B6"/>
    <w:rsid w:val="00D53BBE"/>
    <w:rsid w:val="00D54261"/>
    <w:rsid w:val="00F635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2E117"/>
  <w15:chartTrackingRefBased/>
  <w15:docId w15:val="{6B47A659-DB4E-4750-8236-CBFF96B13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C2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6D5C23"/>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6D5C23"/>
    <w:rPr>
      <w:sz w:val="20"/>
      <w:szCs w:val="20"/>
    </w:rPr>
  </w:style>
  <w:style w:type="character" w:customStyle="1" w:styleId="DipnotMetniChar1">
    <w:name w:val="Dipnot Metni Char1"/>
    <w:aliases w:val="Char Char"/>
    <w:link w:val="DipnotMetni"/>
    <w:uiPriority w:val="99"/>
    <w:rsid w:val="006D5C23"/>
    <w:rPr>
      <w:rFonts w:ascii="Times New Roman" w:eastAsia="Calibri" w:hAnsi="Times New Roman" w:cs="Times New Roman"/>
      <w:sz w:val="20"/>
      <w:szCs w:val="20"/>
      <w:lang w:val="x-none" w:eastAsia="x-none"/>
    </w:rPr>
  </w:style>
  <w:style w:type="character" w:styleId="DipnotBavurusu">
    <w:name w:val="footnote reference"/>
    <w:uiPriority w:val="99"/>
    <w:qFormat/>
    <w:rsid w:val="006D5C23"/>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830</Words>
  <Characters>4735</Characters>
  <Application>Microsoft Office Word</Application>
  <DocSecurity>0</DocSecurity>
  <Lines>39</Lines>
  <Paragraphs>11</Paragraphs>
  <ScaleCrop>false</ScaleCrop>
  <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4</cp:revision>
  <dcterms:created xsi:type="dcterms:W3CDTF">2017-11-15T19:41:00Z</dcterms:created>
  <dcterms:modified xsi:type="dcterms:W3CDTF">2024-09-10T08:42:00Z</dcterms:modified>
</cp:coreProperties>
</file>