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4129" w14:textId="77777777" w:rsidR="00237298" w:rsidRPr="00B80BDC" w:rsidRDefault="00237298" w:rsidP="00237298">
      <w:pPr>
        <w:spacing w:after="0" w:line="240" w:lineRule="auto"/>
        <w:ind w:left="567" w:hanging="567"/>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ANKARA ÜNİVERSİTESİ TÜRK İNKILAP TARİHİ ENSTİTÜSÜ</w:t>
      </w:r>
    </w:p>
    <w:p w14:paraId="5FC4857A" w14:textId="77777777" w:rsidR="00237298" w:rsidRPr="00B80BDC" w:rsidRDefault="00237298" w:rsidP="00237298">
      <w:pPr>
        <w:spacing w:after="0" w:line="240" w:lineRule="auto"/>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“ATATÜRK İLKELERİ VE İNKILAP TARİHİ” </w:t>
      </w:r>
    </w:p>
    <w:p w14:paraId="11419362" w14:textId="51DB133B" w:rsidR="00237298" w:rsidRDefault="00237298" w:rsidP="00237298">
      <w:pPr>
        <w:spacing w:after="24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ATA-1</w:t>
      </w:r>
      <w:r w:rsidR="00D84D2D">
        <w:rPr>
          <w:rFonts w:ascii="Times New Roman" w:eastAsia="Calibri" w:hAnsi="Times New Roman" w:cs="Times New Roman"/>
          <w:b/>
          <w:lang w:eastAsia="x-none"/>
        </w:rPr>
        <w:t xml:space="preserve">16 </w:t>
      </w:r>
      <w:r w:rsidRPr="00B80BDC">
        <w:rPr>
          <w:rFonts w:ascii="Times New Roman" w:eastAsia="Calibri" w:hAnsi="Times New Roman" w:cs="Times New Roman"/>
          <w:b/>
          <w:lang w:val="x-none" w:eastAsia="x-none"/>
        </w:rPr>
        <w:t>DERS İÇERİKLERİ</w:t>
      </w:r>
    </w:p>
    <w:tbl>
      <w:tblPr>
        <w:tblW w:w="8921" w:type="dxa"/>
        <w:tblInd w:w="80" w:type="dxa"/>
        <w:tblCellMar>
          <w:left w:w="70" w:type="dxa"/>
          <w:right w:w="70" w:type="dxa"/>
        </w:tblCellMar>
        <w:tblLook w:val="04A0" w:firstRow="1" w:lastRow="0" w:firstColumn="1" w:lastColumn="0" w:noHBand="0" w:noVBand="1"/>
      </w:tblPr>
      <w:tblGrid>
        <w:gridCol w:w="1408"/>
        <w:gridCol w:w="7513"/>
      </w:tblGrid>
      <w:tr w:rsidR="00237298" w:rsidRPr="00B80BDC" w14:paraId="2F663A98" w14:textId="77777777" w:rsidTr="000B0BFF">
        <w:trPr>
          <w:trHeight w:val="1170"/>
        </w:trPr>
        <w:tc>
          <w:tcPr>
            <w:tcW w:w="1408" w:type="dxa"/>
            <w:vMerge w:val="restar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BBFC5F5" w14:textId="77777777" w:rsidR="00237298" w:rsidRPr="00B80BDC" w:rsidRDefault="00237298" w:rsidP="000B0BFF">
            <w:pPr>
              <w:spacing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10</w:t>
            </w:r>
          </w:p>
        </w:tc>
        <w:tc>
          <w:tcPr>
            <w:tcW w:w="751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71A1A0D" w14:textId="77777777" w:rsidR="00237298" w:rsidRPr="00B80BDC" w:rsidRDefault="00F43DC2" w:rsidP="000B0BFF">
            <w:pPr>
              <w:spacing w:before="360" w:after="120" w:line="240" w:lineRule="auto"/>
              <w:ind w:firstLine="709"/>
              <w:jc w:val="center"/>
              <w:rPr>
                <w:rFonts w:ascii="Times New Roman" w:eastAsia="Times New Roman" w:hAnsi="Times New Roman" w:cs="Times New Roman"/>
                <w:b/>
                <w:color w:val="FF0000"/>
                <w:lang w:eastAsia="tr-TR"/>
              </w:rPr>
            </w:pPr>
            <w:hyperlink w:anchor="_Toc458593206" w:history="1">
              <w:r w:rsidR="00237298" w:rsidRPr="004963E0">
                <w:rPr>
                  <w:rFonts w:ascii="Times New Roman" w:eastAsia="Times New Roman" w:hAnsi="Times New Roman" w:cs="Times New Roman"/>
                  <w:b/>
                  <w:noProof/>
                  <w:color w:val="FF0000"/>
                  <w:lang w:eastAsia="tr-TR"/>
                </w:rPr>
                <w:t>Atatürk Döneminde</w:t>
              </w:r>
            </w:hyperlink>
            <w:hyperlink w:anchor="_Toc458593207" w:history="1">
              <w:r w:rsidR="00237298" w:rsidRPr="004963E0">
                <w:rPr>
                  <w:rFonts w:ascii="Times New Roman" w:eastAsia="Times New Roman" w:hAnsi="Times New Roman" w:cs="Times New Roman"/>
                  <w:b/>
                  <w:noProof/>
                  <w:color w:val="FF0000"/>
                  <w:lang w:eastAsia="tr-TR"/>
                </w:rPr>
                <w:t>Türkiye’nin Dış Politikası</w:t>
              </w:r>
            </w:hyperlink>
            <w:r w:rsidR="00237298" w:rsidRPr="004963E0">
              <w:rPr>
                <w:rFonts w:ascii="Times New Roman" w:eastAsia="Times New Roman" w:hAnsi="Times New Roman" w:cs="Times New Roman"/>
                <w:b/>
                <w:noProof/>
                <w:color w:val="FF0000"/>
                <w:lang w:eastAsia="tr-TR"/>
              </w:rPr>
              <w:t xml:space="preserve">; </w:t>
            </w:r>
            <w:r w:rsidR="00237298" w:rsidRPr="004963E0">
              <w:rPr>
                <w:rFonts w:ascii="Times New Roman" w:eastAsia="Times New Roman" w:hAnsi="Times New Roman" w:cs="Times New Roman"/>
                <w:b/>
                <w:color w:val="FF0000"/>
                <w:lang w:eastAsia="tr-TR"/>
              </w:rPr>
              <w:t>1919-1923 Yılları; 1923–1930 Yılları</w:t>
            </w:r>
          </w:p>
        </w:tc>
      </w:tr>
      <w:tr w:rsidR="00237298" w:rsidRPr="00B80BDC" w14:paraId="45F059AA" w14:textId="77777777" w:rsidTr="000B0BFF">
        <w:trPr>
          <w:trHeight w:val="450"/>
        </w:trPr>
        <w:tc>
          <w:tcPr>
            <w:tcW w:w="1408" w:type="dxa"/>
            <w:vMerge/>
            <w:tcBorders>
              <w:top w:val="single" w:sz="4" w:space="0" w:color="auto"/>
              <w:left w:val="single" w:sz="8" w:space="0" w:color="auto"/>
              <w:bottom w:val="single" w:sz="4" w:space="0" w:color="auto"/>
              <w:right w:val="single" w:sz="4" w:space="0" w:color="auto"/>
            </w:tcBorders>
            <w:vAlign w:val="center"/>
            <w:hideMark/>
          </w:tcPr>
          <w:p w14:paraId="7FE292D6" w14:textId="77777777" w:rsidR="00237298" w:rsidRPr="00B80BDC" w:rsidRDefault="00237298" w:rsidP="000B0BFF">
            <w:pPr>
              <w:spacing w:after="0" w:line="240" w:lineRule="auto"/>
              <w:jc w:val="center"/>
              <w:rPr>
                <w:rFonts w:ascii="Times New Roman" w:eastAsia="Times New Roman" w:hAnsi="Times New Roman" w:cs="Times New Roman"/>
                <w:b/>
                <w:color w:val="FF0000"/>
                <w:lang w:eastAsia="tr-TR"/>
              </w:rPr>
            </w:pPr>
          </w:p>
        </w:tc>
        <w:tc>
          <w:tcPr>
            <w:tcW w:w="7513" w:type="dxa"/>
            <w:vMerge/>
            <w:tcBorders>
              <w:top w:val="single" w:sz="4" w:space="0" w:color="auto"/>
              <w:left w:val="single" w:sz="4" w:space="0" w:color="auto"/>
              <w:bottom w:val="single" w:sz="4" w:space="0" w:color="000000"/>
              <w:right w:val="single" w:sz="4" w:space="0" w:color="auto"/>
            </w:tcBorders>
            <w:vAlign w:val="center"/>
            <w:hideMark/>
          </w:tcPr>
          <w:p w14:paraId="32280FBB" w14:textId="77777777" w:rsidR="00237298" w:rsidRPr="00B80BDC" w:rsidRDefault="00237298" w:rsidP="000B0BFF">
            <w:pPr>
              <w:spacing w:after="0" w:line="240" w:lineRule="auto"/>
              <w:jc w:val="center"/>
              <w:rPr>
                <w:rFonts w:ascii="Times New Roman" w:eastAsia="Times New Roman" w:hAnsi="Times New Roman" w:cs="Times New Roman"/>
                <w:b/>
                <w:color w:val="FF0000"/>
                <w:lang w:eastAsia="tr-TR"/>
              </w:rPr>
            </w:pPr>
          </w:p>
        </w:tc>
      </w:tr>
    </w:tbl>
    <w:p w14:paraId="30ACBBB4" w14:textId="77777777" w:rsidR="00237298" w:rsidRPr="00B80BDC" w:rsidRDefault="00F43DC2" w:rsidP="00237298">
      <w:pPr>
        <w:spacing w:before="120" w:after="120" w:line="240" w:lineRule="auto"/>
        <w:jc w:val="center"/>
        <w:rPr>
          <w:rFonts w:ascii="Times New Roman" w:eastAsia="Times New Roman" w:hAnsi="Times New Roman" w:cs="Times New Roman"/>
          <w:b/>
          <w:noProof/>
          <w:lang w:eastAsia="tr-TR"/>
        </w:rPr>
      </w:pPr>
      <w:hyperlink w:anchor="_Toc458593206" w:history="1">
        <w:r w:rsidR="00237298" w:rsidRPr="00B80BDC">
          <w:rPr>
            <w:rFonts w:ascii="Times New Roman" w:eastAsia="Times New Roman" w:hAnsi="Times New Roman" w:cs="Times New Roman"/>
            <w:b/>
            <w:noProof/>
            <w:lang w:eastAsia="tr-TR"/>
          </w:rPr>
          <w:t>Atatürk Döneminde</w:t>
        </w:r>
      </w:hyperlink>
      <w:hyperlink w:anchor="_Toc458593207" w:history="1">
        <w:r w:rsidR="00237298" w:rsidRPr="00B80BDC">
          <w:rPr>
            <w:rFonts w:ascii="Times New Roman" w:eastAsia="Times New Roman" w:hAnsi="Times New Roman" w:cs="Times New Roman"/>
            <w:b/>
            <w:noProof/>
            <w:lang w:eastAsia="tr-TR"/>
          </w:rPr>
          <w:t>Türkiye’nin Dış Politikası</w:t>
        </w:r>
      </w:hyperlink>
    </w:p>
    <w:p w14:paraId="6DA9C646" w14:textId="77777777" w:rsidR="00237298" w:rsidRPr="00B80BDC" w:rsidRDefault="00237298" w:rsidP="00237298">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 xml:space="preserve">Yeni Türkiye Devleti’nin uluslararası alanda tanınması, dört yıllık ağır ve zorlu bir Kurtuluş Savaşı’nın sonunda 24 Temmuz 1923’te imzalanan Lozan Barış Antlaşması’yla gerçekleşmiştir. Ancak Lozan Barışı’nın çözemediği ya da Türkiye’nin kendi lehinde çözüme kavuşturamadığı bazı sorunlar, Cumhuriyetin ilk yıllarından itibaren Türk dış politikasının temel konuları olmuştur. Daha açık bir deyişle, 1923 sonrasındaki ilk yıllar, Lozan’ın onarımı için geçen ya da bir başka deyişle Lozan’ın etkisi altındaki yıllardır. </w:t>
      </w:r>
    </w:p>
    <w:p w14:paraId="25285C20" w14:textId="77777777" w:rsidR="00237298" w:rsidRPr="004963E0" w:rsidRDefault="00237298" w:rsidP="00237298">
      <w:pPr>
        <w:spacing w:after="120" w:line="240" w:lineRule="auto"/>
        <w:ind w:firstLine="709"/>
        <w:jc w:val="both"/>
        <w:rPr>
          <w:rFonts w:ascii="Times New Roman" w:eastAsia="Times New Roman" w:hAnsi="Times New Roman" w:cs="Times New Roman"/>
          <w:b/>
          <w:lang w:eastAsia="tr-TR"/>
        </w:rPr>
      </w:pPr>
      <w:r w:rsidRPr="004963E0">
        <w:rPr>
          <w:rFonts w:ascii="Times New Roman" w:eastAsia="Times New Roman" w:hAnsi="Times New Roman" w:cs="Times New Roman"/>
          <w:b/>
          <w:lang w:eastAsia="tr-TR"/>
        </w:rPr>
        <w:t>1919-1923 Yılları</w:t>
      </w:r>
    </w:p>
    <w:p w14:paraId="1862F24C" w14:textId="77777777" w:rsidR="00237298" w:rsidRPr="00B80BDC" w:rsidRDefault="00237298" w:rsidP="00237298">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Atatürk dönemi izlenen Türk dış politikasını dönemsel koşullara bağlı olarak üç ana bölümde incelemek mümkündür. Birinci dönem 1919-1923 yılları arasıdır. Ülkenin işgalden kurtarılması için bir kurtuluş mücadelesinin verildiği ve yeni bir devletin temellerinin atıldığı bu dönemde Türk dış politikası, Erzurum ve Sivas Kongrelerinde beliren, 28 Ocak 1920’de de Osmanlı Mebusan Meclisi tarafından benimsenen Misak-ı Milli’ye göre biçimlenmiştir. Misak-ı Milli’nin temel niteliğini teşkil eden tam ve kesin bağımsızlık ile toprak bütünlüğü, 1920’li yıllarda Türk dış politikasını belirleyen temel ilkeler olmuştur.</w:t>
      </w:r>
      <w:r w:rsidRPr="00B80BDC">
        <w:rPr>
          <w:rFonts w:ascii="Times New Roman" w:eastAsia="Times New Roman" w:hAnsi="Times New Roman" w:cs="Times New Roman"/>
          <w:vertAlign w:val="superscript"/>
          <w:lang w:eastAsia="tr-TR"/>
        </w:rPr>
        <w:footnoteReference w:id="1"/>
      </w:r>
      <w:r w:rsidRPr="00B80BDC">
        <w:rPr>
          <w:rFonts w:ascii="Times New Roman" w:eastAsia="Times New Roman" w:hAnsi="Times New Roman" w:cs="Times New Roman"/>
          <w:lang w:eastAsia="tr-TR"/>
        </w:rPr>
        <w:t xml:space="preserve"> Bu dönemin dış politikasının yürütülmesi sırasında, bir yandan İngiltere, Fransa ve İtalya gibi işgalci devletlerarasındaki çıkar çatışmalarından yararlanılmış diğer yandan da o yıllarda adı geçen devletlerle sorunları olan Sovyetler Birliği ile yakın bir diplomatik ilişki yürütülmüş,</w:t>
      </w:r>
      <w:r w:rsidRPr="00B80BDC">
        <w:rPr>
          <w:rFonts w:ascii="Times New Roman" w:eastAsia="Times New Roman" w:hAnsi="Times New Roman" w:cs="Times New Roman"/>
          <w:vertAlign w:val="superscript"/>
          <w:lang w:eastAsia="tr-TR"/>
        </w:rPr>
        <w:footnoteReference w:id="2"/>
      </w:r>
      <w:r w:rsidRPr="00B80BDC">
        <w:rPr>
          <w:rFonts w:ascii="Times New Roman" w:eastAsia="Times New Roman" w:hAnsi="Times New Roman" w:cs="Times New Roman"/>
          <w:lang w:eastAsia="tr-TR"/>
        </w:rPr>
        <w:t xml:space="preserve"> Sovyetler Birliği ile Batılılar arasındaki çıkar çatışması Türkiye lehine kullanılmıştır. Bununla birlikte bu dönem dış politikasının başarılı olmasının temelinde askeri alanda kazanılan başarılar birinci derecede rol oynamıştır. Kazanılan her askeri başarı beraberinde diplomatik başarıyı da getirmiştir. Bu dönemin askeri ve siyasi alandaki en büyük başarısı ise ülkenin işgalden kurtarılması ve Lozan Barışı’nın imzalanması olmuştur. </w:t>
      </w:r>
    </w:p>
    <w:p w14:paraId="26F609B4" w14:textId="77777777" w:rsidR="00237298" w:rsidRPr="00B80BDC" w:rsidRDefault="00237298" w:rsidP="00237298">
      <w:pPr>
        <w:spacing w:after="120" w:line="240" w:lineRule="auto"/>
        <w:ind w:firstLine="709"/>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1923–1930</w:t>
      </w:r>
      <w:r>
        <w:rPr>
          <w:rFonts w:ascii="Times New Roman" w:eastAsia="Times New Roman" w:hAnsi="Times New Roman" w:cs="Times New Roman"/>
          <w:b/>
          <w:lang w:eastAsia="tr-TR"/>
        </w:rPr>
        <w:t xml:space="preserve"> Yılları</w:t>
      </w:r>
    </w:p>
    <w:p w14:paraId="47DF0BCB" w14:textId="77777777" w:rsidR="00237298" w:rsidRPr="00B80BDC" w:rsidRDefault="00237298" w:rsidP="00237298">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 xml:space="preserve">İkinci dönem 1923-1932 yılları arasıdır. Yeni Türk devletine modern anlamda bir ulus devlet olarak hukuki statü kazandıran Lozan Antlaşması’nın imzalanmasından sonraki dönemi kapsayan bu yıllarda, özellikle Lozan’dan arta kalan sorunların çözümü ile uğraşılmıştır. Lozan’da belirlenen koşullara göre, yabancı devletlere verilen imtiyazların tasfiyesi; kapitülasyonların kaldırılması; Musul sorununun çözümü; Yunanistan ile ahali mübadelesi sorununun ortaya çıkması ve çözümü Türk dış politikasının şekillenmesinde önemli rol oynamıştır. Bunlara, sonradan ortaya çıkan Patrikliğin durumu, yabancı şirketlerin millileştirilmesi ve yabancı okullarda yapılacak Türkçe öğrenim gibi yeni sorunlar eklenmesi ise Türkiye ile Batılı devletlerarasındaki ilişkilerin daha da gerilmesine yol açmıştır.  Ayrıca bu dönemde hemen her alanda önemli değişimler yaşanması ve yeni bir devletin ve rejimin kurulmaya başlanmış olması nedeniyle, rejim sorunu ve ülke bütünlüğünün sağlanması Türkiye için daha öncelikli </w:t>
      </w:r>
      <w:r w:rsidRPr="00B80BDC">
        <w:rPr>
          <w:rFonts w:ascii="Times New Roman" w:eastAsia="Times New Roman" w:hAnsi="Times New Roman" w:cs="Times New Roman"/>
          <w:lang w:eastAsia="tr-TR"/>
        </w:rPr>
        <w:lastRenderedPageBreak/>
        <w:t>olmuştur. Bu durum ise dış politika konusunda Türkiye’nin tercihlerini belirlemiş ve bu sürecin başarıyla tamamlanabilmesi içeride ve dışarıda barışın sağlanmasına bağlı tutulmuştur.</w:t>
      </w:r>
      <w:r w:rsidRPr="00B80BDC">
        <w:rPr>
          <w:rFonts w:ascii="Times New Roman" w:eastAsia="Times New Roman" w:hAnsi="Times New Roman" w:cs="Times New Roman"/>
          <w:vertAlign w:val="superscript"/>
          <w:lang w:eastAsia="tr-TR"/>
        </w:rPr>
        <w:footnoteReference w:id="3"/>
      </w:r>
      <w:r w:rsidRPr="00B80BDC">
        <w:rPr>
          <w:rFonts w:ascii="Times New Roman" w:eastAsia="Times New Roman" w:hAnsi="Times New Roman" w:cs="Times New Roman"/>
          <w:lang w:eastAsia="tr-TR"/>
        </w:rPr>
        <w:t xml:space="preserve"> </w:t>
      </w:r>
    </w:p>
    <w:p w14:paraId="52D43693" w14:textId="77777777" w:rsidR="00237298" w:rsidRDefault="00237298" w:rsidP="00237298">
      <w:pPr>
        <w:spacing w:before="120" w:after="360" w:line="240" w:lineRule="auto"/>
        <w:ind w:firstLine="709"/>
        <w:jc w:val="both"/>
      </w:pPr>
      <w:r w:rsidRPr="00B80BDC">
        <w:rPr>
          <w:rFonts w:ascii="Times New Roman" w:eastAsia="Times New Roman" w:hAnsi="Times New Roman" w:cs="Times New Roman"/>
          <w:lang w:eastAsia="tr-TR"/>
        </w:rPr>
        <w:t>Bu dönem Türk dış politikasını etkileyen bir başka etmen de, Lozan Barış Antlaşması’nı imzalamalarına karşın, Batılı devletlerin Osmanlı Devleti döneminden gelen bir alışkanlıkla, halen Türkiye’nin iç işlerine karışmak istemeleridir. Türkiye’nin eşitliği ve egemenliği konusunda halen bir kabullenememenin olduğunu gösteren Batılı devletlerin bu tutumu, Türkiye açısından bu devletlere karşı bir güvensizlik yaratmış ve bir süre daha güvene dayalı ilişkiler kurulmasını engellemiştir.</w:t>
      </w:r>
      <w:r w:rsidRPr="00B80BDC">
        <w:rPr>
          <w:rFonts w:ascii="Times New Roman" w:eastAsia="Times New Roman" w:hAnsi="Times New Roman" w:cs="Times New Roman"/>
          <w:vertAlign w:val="superscript"/>
          <w:lang w:eastAsia="tr-TR"/>
        </w:rPr>
        <w:footnoteReference w:id="4"/>
      </w:r>
      <w:r w:rsidRPr="00B80BDC">
        <w:rPr>
          <w:rFonts w:ascii="Times New Roman" w:eastAsia="Times New Roman" w:hAnsi="Times New Roman" w:cs="Times New Roman"/>
          <w:lang w:eastAsia="tr-TR"/>
        </w:rPr>
        <w:t xml:space="preserve"> Türk dış politikasını yönetenler, bu dönemde, bağımsızlık ve toprak bütünlüğü bakımından en çok Batıdan çekinmiş oldukları için, yönetim felsefesi ve biçimi bakımlarından çok uzakta oldukları halde, Sovyetlerle Milli Mücadele sırasında başlayan diplomatik yakınlığı korumuş, hatta artırmışlardır.</w:t>
      </w:r>
      <w:r w:rsidRPr="00B80BDC">
        <w:rPr>
          <w:rFonts w:ascii="Times New Roman" w:eastAsia="Times New Roman" w:hAnsi="Times New Roman" w:cs="Times New Roman"/>
          <w:vertAlign w:val="superscript"/>
          <w:lang w:eastAsia="tr-TR"/>
        </w:rPr>
        <w:footnoteReference w:id="5"/>
      </w:r>
      <w:r w:rsidRPr="00B80BDC">
        <w:rPr>
          <w:rFonts w:ascii="Times New Roman" w:eastAsia="Times New Roman" w:hAnsi="Times New Roman" w:cs="Times New Roman"/>
          <w:lang w:eastAsia="tr-TR"/>
        </w:rPr>
        <w:t xml:space="preserve"> </w:t>
      </w:r>
    </w:p>
    <w:p w14:paraId="323E7859" w14:textId="77777777" w:rsidR="00A04EC4" w:rsidRDefault="00A04EC4"/>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2320" w14:textId="77777777" w:rsidR="00F43DC2" w:rsidRDefault="00F43DC2" w:rsidP="00237298">
      <w:pPr>
        <w:spacing w:after="0" w:line="240" w:lineRule="auto"/>
      </w:pPr>
      <w:r>
        <w:separator/>
      </w:r>
    </w:p>
  </w:endnote>
  <w:endnote w:type="continuationSeparator" w:id="0">
    <w:p w14:paraId="5580C247" w14:textId="77777777" w:rsidR="00F43DC2" w:rsidRDefault="00F43DC2" w:rsidP="0023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9C52" w14:textId="77777777" w:rsidR="00F43DC2" w:rsidRDefault="00F43DC2" w:rsidP="00237298">
      <w:pPr>
        <w:spacing w:after="0" w:line="240" w:lineRule="auto"/>
      </w:pPr>
      <w:r>
        <w:separator/>
      </w:r>
    </w:p>
  </w:footnote>
  <w:footnote w:type="continuationSeparator" w:id="0">
    <w:p w14:paraId="73D5FCA4" w14:textId="77777777" w:rsidR="00F43DC2" w:rsidRDefault="00F43DC2" w:rsidP="00237298">
      <w:pPr>
        <w:spacing w:after="0" w:line="240" w:lineRule="auto"/>
      </w:pPr>
      <w:r>
        <w:continuationSeparator/>
      </w:r>
    </w:p>
  </w:footnote>
  <w:footnote w:id="1">
    <w:p w14:paraId="16B5A8E8" w14:textId="77777777" w:rsidR="00237298" w:rsidRPr="00FB7208" w:rsidRDefault="00237298" w:rsidP="00237298">
      <w:pPr>
        <w:pStyle w:val="DipnotMetni"/>
        <w:ind w:left="142" w:hanging="142"/>
        <w:jc w:val="both"/>
        <w:rPr>
          <w:sz w:val="18"/>
          <w:szCs w:val="18"/>
        </w:rPr>
      </w:pPr>
      <w:r w:rsidRPr="00FB7208">
        <w:rPr>
          <w:rStyle w:val="DipnotBavurusu"/>
          <w:sz w:val="18"/>
          <w:szCs w:val="18"/>
        </w:rPr>
        <w:footnoteRef/>
      </w:r>
      <w:r w:rsidRPr="00FB7208">
        <w:rPr>
          <w:sz w:val="18"/>
          <w:szCs w:val="18"/>
        </w:rPr>
        <w:t xml:space="preserve"> Şükrü S. Gürel, “Türk Dış Politikası (1919-1945)”, </w:t>
      </w:r>
      <w:r w:rsidRPr="00FB7208">
        <w:rPr>
          <w:b/>
          <w:sz w:val="18"/>
          <w:szCs w:val="18"/>
        </w:rPr>
        <w:t>Cumhuriyet Dönemi Türkiye Ansiklopedisi</w:t>
      </w:r>
      <w:r w:rsidRPr="00FB7208">
        <w:rPr>
          <w:sz w:val="18"/>
          <w:szCs w:val="18"/>
        </w:rPr>
        <w:t xml:space="preserve">, C.2, İletişim Yay., İstanbul, b.t.y., s.520; Aptülahat Akşin, </w:t>
      </w:r>
      <w:r w:rsidRPr="00FB7208">
        <w:rPr>
          <w:b/>
          <w:sz w:val="18"/>
          <w:szCs w:val="18"/>
        </w:rPr>
        <w:t>Atatürk’ün Dış Politika İlkeleri ve Diplomasisi</w:t>
      </w:r>
      <w:r w:rsidRPr="00FB7208">
        <w:rPr>
          <w:sz w:val="18"/>
          <w:szCs w:val="18"/>
        </w:rPr>
        <w:t xml:space="preserve">, Ankara, 1991, s.25-26; Fahir Armaoğlu, “Tarihi Perspektif İçinde Misâk-ı Millî’nin Değerlendirilmesi”, </w:t>
      </w:r>
      <w:r w:rsidRPr="00FB7208">
        <w:rPr>
          <w:b/>
          <w:sz w:val="18"/>
          <w:szCs w:val="18"/>
        </w:rPr>
        <w:t>Atatürk Dönemi Türk Dış Politikası Makaleler</w:t>
      </w:r>
      <w:r w:rsidRPr="00FB7208">
        <w:rPr>
          <w:sz w:val="18"/>
          <w:szCs w:val="18"/>
        </w:rPr>
        <w:t>, Atatürk Araştırma Merkezi, Ankara, 2000, s.68.</w:t>
      </w:r>
    </w:p>
  </w:footnote>
  <w:footnote w:id="2">
    <w:p w14:paraId="521D8F7E" w14:textId="77777777" w:rsidR="00237298" w:rsidRPr="00FB7208" w:rsidRDefault="00237298" w:rsidP="00237298">
      <w:pPr>
        <w:pStyle w:val="DipnotMetni"/>
        <w:ind w:left="142" w:hanging="142"/>
        <w:jc w:val="both"/>
        <w:rPr>
          <w:sz w:val="18"/>
          <w:szCs w:val="18"/>
        </w:rPr>
      </w:pPr>
      <w:r w:rsidRPr="00FB7208">
        <w:rPr>
          <w:rStyle w:val="DipnotBavurusu"/>
          <w:sz w:val="18"/>
          <w:szCs w:val="18"/>
        </w:rPr>
        <w:footnoteRef/>
      </w:r>
      <w:r w:rsidRPr="00FB7208">
        <w:rPr>
          <w:sz w:val="18"/>
          <w:szCs w:val="18"/>
        </w:rPr>
        <w:t xml:space="preserve"> Gürel, </w:t>
      </w:r>
      <w:r w:rsidRPr="00BD6A0F">
        <w:rPr>
          <w:b/>
          <w:sz w:val="18"/>
          <w:szCs w:val="18"/>
        </w:rPr>
        <w:t>a.g.m</w:t>
      </w:r>
      <w:r w:rsidRPr="00FB7208">
        <w:rPr>
          <w:sz w:val="18"/>
          <w:szCs w:val="18"/>
        </w:rPr>
        <w:t xml:space="preserve">., s.520; Faruk Sönmezoğlu, </w:t>
      </w:r>
      <w:r w:rsidRPr="00FB7208">
        <w:rPr>
          <w:b/>
          <w:sz w:val="18"/>
          <w:szCs w:val="18"/>
        </w:rPr>
        <w:t>İki Savaş Sırası ve Arasında Türk Dış Politikası</w:t>
      </w:r>
      <w:r w:rsidRPr="00FB7208">
        <w:rPr>
          <w:sz w:val="18"/>
          <w:szCs w:val="18"/>
        </w:rPr>
        <w:t>, İstanbul, 2011, s.102.</w:t>
      </w:r>
    </w:p>
  </w:footnote>
  <w:footnote w:id="3">
    <w:p w14:paraId="5316ABFD" w14:textId="77777777" w:rsidR="00237298" w:rsidRPr="00FB7208" w:rsidRDefault="00237298" w:rsidP="00237298">
      <w:pPr>
        <w:pStyle w:val="DipnotMetni"/>
        <w:ind w:left="142" w:hanging="142"/>
        <w:jc w:val="both"/>
        <w:rPr>
          <w:sz w:val="18"/>
          <w:szCs w:val="18"/>
        </w:rPr>
      </w:pPr>
      <w:r w:rsidRPr="00FB7208">
        <w:rPr>
          <w:rStyle w:val="DipnotBavurusu"/>
          <w:sz w:val="18"/>
          <w:szCs w:val="18"/>
        </w:rPr>
        <w:footnoteRef/>
      </w:r>
      <w:r w:rsidRPr="00FB7208">
        <w:rPr>
          <w:sz w:val="18"/>
          <w:szCs w:val="18"/>
        </w:rPr>
        <w:t xml:space="preserve"> Muzaffer Özsoy, “Askerlik Bilimi ve Strateji Açısından Atatürk”, </w:t>
      </w:r>
      <w:r w:rsidRPr="00FB7208">
        <w:rPr>
          <w:b/>
          <w:sz w:val="18"/>
          <w:szCs w:val="18"/>
        </w:rPr>
        <w:t>Çağdaş Düşüncenin Işığında Atatürk</w:t>
      </w:r>
      <w:r w:rsidRPr="00FB7208">
        <w:rPr>
          <w:sz w:val="18"/>
          <w:szCs w:val="18"/>
        </w:rPr>
        <w:t xml:space="preserve">, 2. Baskı, İstanbul, 1986, s.116; Ertan, </w:t>
      </w:r>
      <w:r w:rsidRPr="00BD6A0F">
        <w:rPr>
          <w:b/>
          <w:sz w:val="18"/>
          <w:szCs w:val="18"/>
        </w:rPr>
        <w:t>a.g.m</w:t>
      </w:r>
      <w:r w:rsidRPr="00FB7208">
        <w:rPr>
          <w:sz w:val="18"/>
          <w:szCs w:val="18"/>
        </w:rPr>
        <w:t xml:space="preserve">., s.9; Gürel, </w:t>
      </w:r>
      <w:r w:rsidRPr="00BD6A0F">
        <w:rPr>
          <w:b/>
          <w:sz w:val="18"/>
          <w:szCs w:val="18"/>
        </w:rPr>
        <w:t>a.g.m</w:t>
      </w:r>
      <w:r w:rsidRPr="00FB7208">
        <w:rPr>
          <w:sz w:val="18"/>
          <w:szCs w:val="18"/>
        </w:rPr>
        <w:t xml:space="preserve">., s.522; Yılmaz, </w:t>
      </w:r>
      <w:r w:rsidRPr="00BD6A0F">
        <w:rPr>
          <w:b/>
          <w:sz w:val="18"/>
          <w:szCs w:val="18"/>
        </w:rPr>
        <w:t>a.g.m</w:t>
      </w:r>
      <w:r w:rsidRPr="00FB7208">
        <w:rPr>
          <w:sz w:val="18"/>
          <w:szCs w:val="18"/>
        </w:rPr>
        <w:t xml:space="preserve">., s.583; Ülman, </w:t>
      </w:r>
      <w:r w:rsidRPr="00FB7208">
        <w:rPr>
          <w:b/>
          <w:sz w:val="18"/>
          <w:szCs w:val="18"/>
        </w:rPr>
        <w:t>a.g.e.</w:t>
      </w:r>
      <w:r w:rsidRPr="00FB7208">
        <w:rPr>
          <w:sz w:val="18"/>
          <w:szCs w:val="18"/>
        </w:rPr>
        <w:t>, s.245.</w:t>
      </w:r>
    </w:p>
  </w:footnote>
  <w:footnote w:id="4">
    <w:p w14:paraId="27D0F33C" w14:textId="77777777" w:rsidR="00237298" w:rsidRPr="00FB7208" w:rsidRDefault="00237298" w:rsidP="00237298">
      <w:pPr>
        <w:pStyle w:val="DipnotMetni"/>
        <w:ind w:left="142" w:hanging="142"/>
        <w:jc w:val="both"/>
        <w:rPr>
          <w:sz w:val="18"/>
          <w:szCs w:val="18"/>
        </w:rPr>
      </w:pPr>
      <w:r w:rsidRPr="00FB7208">
        <w:rPr>
          <w:rStyle w:val="DipnotBavurusu"/>
          <w:sz w:val="18"/>
          <w:szCs w:val="18"/>
        </w:rPr>
        <w:footnoteRef/>
      </w:r>
      <w:r w:rsidRPr="00FB7208">
        <w:rPr>
          <w:sz w:val="18"/>
          <w:szCs w:val="18"/>
        </w:rPr>
        <w:t xml:space="preserve"> Gürel, </w:t>
      </w:r>
      <w:r w:rsidRPr="00BD6A0F">
        <w:rPr>
          <w:b/>
          <w:sz w:val="18"/>
          <w:szCs w:val="18"/>
        </w:rPr>
        <w:t>a.g.m</w:t>
      </w:r>
      <w:r w:rsidRPr="00FB7208">
        <w:rPr>
          <w:sz w:val="18"/>
          <w:szCs w:val="18"/>
        </w:rPr>
        <w:t>., s.522.</w:t>
      </w:r>
    </w:p>
  </w:footnote>
  <w:footnote w:id="5">
    <w:p w14:paraId="161014F9" w14:textId="77777777" w:rsidR="00237298" w:rsidRPr="00FB7208" w:rsidRDefault="00237298" w:rsidP="00237298">
      <w:pPr>
        <w:pStyle w:val="DipnotMetni"/>
        <w:ind w:left="142" w:hanging="142"/>
        <w:jc w:val="both"/>
        <w:rPr>
          <w:sz w:val="18"/>
          <w:szCs w:val="18"/>
        </w:rPr>
      </w:pPr>
      <w:r w:rsidRPr="00FB7208">
        <w:rPr>
          <w:rStyle w:val="DipnotBavurusu"/>
          <w:sz w:val="18"/>
          <w:szCs w:val="18"/>
        </w:rPr>
        <w:footnoteRef/>
      </w:r>
      <w:r w:rsidRPr="00FB7208">
        <w:rPr>
          <w:sz w:val="18"/>
          <w:szCs w:val="18"/>
        </w:rPr>
        <w:t xml:space="preserve"> Ülman</w:t>
      </w:r>
      <w:r w:rsidRPr="00BD6A0F">
        <w:rPr>
          <w:b/>
          <w:sz w:val="18"/>
          <w:szCs w:val="18"/>
        </w:rPr>
        <w:t>, a.g.m</w:t>
      </w:r>
      <w:r w:rsidRPr="00FB7208">
        <w:rPr>
          <w:sz w:val="18"/>
          <w:szCs w:val="18"/>
        </w:rPr>
        <w:t>., s.244.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34"/>
    <w:rsid w:val="001B4934"/>
    <w:rsid w:val="00237298"/>
    <w:rsid w:val="00744A06"/>
    <w:rsid w:val="008670A9"/>
    <w:rsid w:val="00A04EC4"/>
    <w:rsid w:val="00D84D2D"/>
    <w:rsid w:val="00F43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C2A2"/>
  <w15:chartTrackingRefBased/>
  <w15:docId w15:val="{57F55759-8AA5-4E6B-BEBE-92015F40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2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237298"/>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237298"/>
    <w:rPr>
      <w:sz w:val="20"/>
      <w:szCs w:val="20"/>
    </w:rPr>
  </w:style>
  <w:style w:type="character" w:customStyle="1" w:styleId="DipnotMetniChar1">
    <w:name w:val="Dipnot Metni Char1"/>
    <w:aliases w:val="Char Char"/>
    <w:link w:val="DipnotMetni"/>
    <w:uiPriority w:val="99"/>
    <w:rsid w:val="00237298"/>
    <w:rPr>
      <w:rFonts w:ascii="Times New Roman" w:eastAsia="Calibri" w:hAnsi="Times New Roman" w:cs="Times New Roman"/>
      <w:sz w:val="20"/>
      <w:szCs w:val="20"/>
      <w:lang w:val="x-none" w:eastAsia="x-none"/>
    </w:rPr>
  </w:style>
  <w:style w:type="character" w:styleId="DipnotBavurusu">
    <w:name w:val="footnote reference"/>
    <w:uiPriority w:val="99"/>
    <w:qFormat/>
    <w:rsid w:val="0023729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3</cp:revision>
  <dcterms:created xsi:type="dcterms:W3CDTF">2017-11-15T19:45:00Z</dcterms:created>
  <dcterms:modified xsi:type="dcterms:W3CDTF">2024-09-10T08:46:00Z</dcterms:modified>
</cp:coreProperties>
</file>