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5624B" w14:textId="77777777" w:rsidR="006B0D2D" w:rsidRPr="00B80BDC" w:rsidRDefault="006B0D2D" w:rsidP="006B0D2D">
      <w:pPr>
        <w:spacing w:after="0" w:line="240" w:lineRule="auto"/>
        <w:ind w:left="567" w:hanging="567"/>
        <w:jc w:val="center"/>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ANKARA ÜNİVERSİTESİ TÜRK İNKILAP TARİHİ ENSTİTÜSÜ</w:t>
      </w:r>
    </w:p>
    <w:p w14:paraId="63C8C46A" w14:textId="77777777" w:rsidR="006B0D2D" w:rsidRPr="00B80BDC" w:rsidRDefault="006B0D2D" w:rsidP="006B0D2D">
      <w:pPr>
        <w:spacing w:after="0" w:line="240" w:lineRule="auto"/>
        <w:jc w:val="center"/>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 xml:space="preserve">“ATATÜRK İLKELERİ VE İNKILAP TARİHİ” </w:t>
      </w:r>
    </w:p>
    <w:p w14:paraId="2824094D" w14:textId="71E332F3" w:rsidR="006B0D2D" w:rsidRDefault="006B0D2D" w:rsidP="006B0D2D">
      <w:pPr>
        <w:spacing w:after="240" w:line="240" w:lineRule="auto"/>
        <w:jc w:val="center"/>
        <w:rPr>
          <w:rFonts w:ascii="Times New Roman" w:eastAsia="Calibri" w:hAnsi="Times New Roman" w:cs="Times New Roman"/>
          <w:b/>
          <w:lang w:val="x-none" w:eastAsia="x-none"/>
        </w:rPr>
      </w:pPr>
      <w:r w:rsidRPr="00B80BDC">
        <w:rPr>
          <w:rFonts w:ascii="Times New Roman" w:eastAsia="Calibri" w:hAnsi="Times New Roman" w:cs="Times New Roman"/>
          <w:b/>
          <w:lang w:val="x-none" w:eastAsia="x-none"/>
        </w:rPr>
        <w:t>ATA-1</w:t>
      </w:r>
      <w:r w:rsidR="004F5168">
        <w:rPr>
          <w:rFonts w:ascii="Times New Roman" w:eastAsia="Calibri" w:hAnsi="Times New Roman" w:cs="Times New Roman"/>
          <w:b/>
          <w:lang w:eastAsia="x-none"/>
        </w:rPr>
        <w:t>16</w:t>
      </w:r>
      <w:r w:rsidRPr="00B80BDC">
        <w:rPr>
          <w:rFonts w:ascii="Times New Roman" w:eastAsia="Calibri" w:hAnsi="Times New Roman" w:cs="Times New Roman"/>
          <w:b/>
          <w:lang w:val="x-none" w:eastAsia="x-none"/>
        </w:rPr>
        <w:t xml:space="preserve"> DERS İÇERİKLERİ</w:t>
      </w:r>
    </w:p>
    <w:tbl>
      <w:tblPr>
        <w:tblW w:w="8921" w:type="dxa"/>
        <w:tblInd w:w="80" w:type="dxa"/>
        <w:tblCellMar>
          <w:left w:w="70" w:type="dxa"/>
          <w:right w:w="70" w:type="dxa"/>
        </w:tblCellMar>
        <w:tblLook w:val="04A0" w:firstRow="1" w:lastRow="0" w:firstColumn="1" w:lastColumn="0" w:noHBand="0" w:noVBand="1"/>
      </w:tblPr>
      <w:tblGrid>
        <w:gridCol w:w="1408"/>
        <w:gridCol w:w="7513"/>
      </w:tblGrid>
      <w:tr w:rsidR="006B0D2D" w:rsidRPr="00B80BDC" w14:paraId="4245C8DC" w14:textId="77777777" w:rsidTr="000B0BFF">
        <w:trPr>
          <w:trHeight w:val="450"/>
        </w:trPr>
        <w:tc>
          <w:tcPr>
            <w:tcW w:w="1408" w:type="dxa"/>
            <w:vMerge w:val="restar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9858CF1" w14:textId="77777777" w:rsidR="006B0D2D" w:rsidRPr="00B80BDC" w:rsidRDefault="006B0D2D" w:rsidP="000B0BFF">
            <w:pPr>
              <w:spacing w:after="120" w:line="240" w:lineRule="auto"/>
              <w:ind w:firstLine="709"/>
              <w:jc w:val="center"/>
              <w:rPr>
                <w:rFonts w:ascii="Times New Roman" w:eastAsia="Times New Roman" w:hAnsi="Times New Roman" w:cs="Times New Roman"/>
                <w:b/>
                <w:color w:val="FF0000"/>
                <w:lang w:eastAsia="tr-TR"/>
              </w:rPr>
            </w:pPr>
            <w:r w:rsidRPr="00B80BDC">
              <w:rPr>
                <w:rFonts w:ascii="Times New Roman" w:eastAsia="Times New Roman" w:hAnsi="Times New Roman" w:cs="Times New Roman"/>
                <w:b/>
                <w:color w:val="FF0000"/>
                <w:lang w:eastAsia="tr-TR"/>
              </w:rPr>
              <w:t>11</w:t>
            </w:r>
          </w:p>
        </w:tc>
        <w:tc>
          <w:tcPr>
            <w:tcW w:w="751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637CB557" w14:textId="77777777" w:rsidR="006B0D2D" w:rsidRPr="00B80BDC" w:rsidRDefault="006B0D2D" w:rsidP="000B0BFF">
            <w:pPr>
              <w:spacing w:before="360" w:after="120" w:line="240" w:lineRule="auto"/>
              <w:ind w:firstLine="709"/>
              <w:rPr>
                <w:rFonts w:ascii="Times New Roman" w:eastAsia="Times New Roman" w:hAnsi="Times New Roman" w:cs="Times New Roman"/>
                <w:b/>
                <w:color w:val="FF0000"/>
                <w:lang w:eastAsia="tr-TR"/>
              </w:rPr>
            </w:pPr>
            <w:r w:rsidRPr="00B80BDC">
              <w:rPr>
                <w:rFonts w:ascii="Times New Roman" w:eastAsia="Times New Roman" w:hAnsi="Times New Roman" w:cs="Times New Roman"/>
                <w:b/>
                <w:color w:val="FF0000"/>
                <w:lang w:eastAsia="tr-TR"/>
              </w:rPr>
              <w:t xml:space="preserve">İkinci Dünya Savaşı’na Gidiş ve Türk Dış Politikası 1931–1939 </w:t>
            </w:r>
          </w:p>
        </w:tc>
      </w:tr>
      <w:tr w:rsidR="006B0D2D" w:rsidRPr="00B80BDC" w14:paraId="2ED8C45F" w14:textId="77777777" w:rsidTr="000B0BFF">
        <w:trPr>
          <w:trHeight w:val="900"/>
        </w:trPr>
        <w:tc>
          <w:tcPr>
            <w:tcW w:w="1408" w:type="dxa"/>
            <w:vMerge/>
            <w:tcBorders>
              <w:top w:val="single" w:sz="4" w:space="0" w:color="auto"/>
              <w:left w:val="single" w:sz="8" w:space="0" w:color="auto"/>
              <w:bottom w:val="single" w:sz="4" w:space="0" w:color="auto"/>
              <w:right w:val="single" w:sz="4" w:space="0" w:color="auto"/>
            </w:tcBorders>
            <w:vAlign w:val="center"/>
            <w:hideMark/>
          </w:tcPr>
          <w:p w14:paraId="0A377C3D" w14:textId="77777777" w:rsidR="006B0D2D" w:rsidRPr="00B80BDC" w:rsidRDefault="006B0D2D" w:rsidP="000B0BFF">
            <w:pPr>
              <w:spacing w:after="120" w:line="240" w:lineRule="auto"/>
              <w:ind w:firstLine="709"/>
              <w:jc w:val="center"/>
              <w:rPr>
                <w:rFonts w:ascii="Times New Roman" w:eastAsia="Times New Roman" w:hAnsi="Times New Roman" w:cs="Times New Roman"/>
                <w:b/>
                <w:color w:val="FF0000"/>
                <w:lang w:eastAsia="tr-TR"/>
              </w:rPr>
            </w:pPr>
          </w:p>
        </w:tc>
        <w:tc>
          <w:tcPr>
            <w:tcW w:w="7513" w:type="dxa"/>
            <w:vMerge/>
            <w:tcBorders>
              <w:top w:val="single" w:sz="4" w:space="0" w:color="auto"/>
              <w:left w:val="single" w:sz="4" w:space="0" w:color="auto"/>
              <w:bottom w:val="single" w:sz="4" w:space="0" w:color="000000"/>
              <w:right w:val="single" w:sz="4" w:space="0" w:color="auto"/>
            </w:tcBorders>
            <w:vAlign w:val="center"/>
            <w:hideMark/>
          </w:tcPr>
          <w:p w14:paraId="0DA5DB3F" w14:textId="77777777" w:rsidR="006B0D2D" w:rsidRPr="00B80BDC" w:rsidRDefault="006B0D2D" w:rsidP="000B0BFF">
            <w:pPr>
              <w:spacing w:after="120" w:line="240" w:lineRule="auto"/>
              <w:ind w:firstLine="709"/>
              <w:jc w:val="center"/>
              <w:rPr>
                <w:rFonts w:ascii="Times New Roman" w:eastAsia="Times New Roman" w:hAnsi="Times New Roman" w:cs="Times New Roman"/>
                <w:b/>
                <w:color w:val="FF0000"/>
                <w:lang w:eastAsia="tr-TR"/>
              </w:rPr>
            </w:pPr>
          </w:p>
        </w:tc>
      </w:tr>
    </w:tbl>
    <w:p w14:paraId="4CF24B19" w14:textId="77777777" w:rsidR="006B0D2D" w:rsidRPr="00B80BDC" w:rsidRDefault="006B0D2D" w:rsidP="006B0D2D">
      <w:pPr>
        <w:spacing w:before="120" w:after="120" w:line="240" w:lineRule="auto"/>
        <w:jc w:val="center"/>
        <w:rPr>
          <w:rFonts w:ascii="Times New Roman" w:eastAsia="Calibri" w:hAnsi="Times New Roman" w:cs="Times New Roman"/>
          <w:b/>
          <w:lang w:val="x-none" w:eastAsia="x-none"/>
        </w:rPr>
      </w:pPr>
      <w:r w:rsidRPr="00B80BDC">
        <w:rPr>
          <w:rFonts w:ascii="Times New Roman" w:eastAsia="Calibri" w:hAnsi="Times New Roman" w:cs="Times New Roman"/>
          <w:b/>
          <w:lang w:val="x-none" w:eastAsia="x-none"/>
        </w:rPr>
        <w:t>İkinci Dünya Savaşı’na Gidiş ve Türk Dış Politikası 1931–1939</w:t>
      </w:r>
    </w:p>
    <w:p w14:paraId="0637EF14" w14:textId="77777777" w:rsidR="006B0D2D" w:rsidRPr="00B80BDC" w:rsidRDefault="006B0D2D" w:rsidP="006B0D2D">
      <w:pPr>
        <w:spacing w:after="120" w:line="240" w:lineRule="auto"/>
        <w:ind w:firstLine="709"/>
        <w:jc w:val="both"/>
        <w:rPr>
          <w:rFonts w:ascii="Times New Roman" w:eastAsia="Times New Roman" w:hAnsi="Times New Roman" w:cs="Times New Roman"/>
          <w:lang w:eastAsia="tr-TR"/>
        </w:rPr>
      </w:pPr>
      <w:r w:rsidRPr="00B80BDC">
        <w:rPr>
          <w:rFonts w:ascii="Times New Roman" w:eastAsia="Times New Roman" w:hAnsi="Times New Roman" w:cs="Times New Roman"/>
          <w:lang w:eastAsia="tr-TR"/>
        </w:rPr>
        <w:t xml:space="preserve">Bu yıllar, Türkiye’nin Batılılarla Lozan’dan artakalan sorunlarını çözdüğü ve bu nedenle de Batılı devletlere karşı duyduğu güvensizliğin azalmaya başladığı yıllardır. Türkiye’nin Milletler Cemiyeti’ne üye olmasıyla başlayan bu yeni dönem, Türkiye’nin Batı ile ilişkileri açısından bir dönüm noktası olarak kabul edilebilir. Bu dönemin dikkat çeken özelliklerinden biri, Sovyet Rusya’ya dayalı dış politika anlayışının artık terk edilmeye başlanması ve Batılı devletlere yaklaşılmış olmasıdır. Türkiye’nin Batılı devletlere yaklaşmasında, yeni Türk devletinin kuruluş felsefesinin Batılı anlamda liberal bir devlet biçimini benimsemiş olması etkili olmuş ve Türkiye’yi böyle bir yönetim anlayışına sahip devletlerarasında yer almaya itmiştir. </w:t>
      </w:r>
    </w:p>
    <w:p w14:paraId="2ADB8272" w14:textId="77777777" w:rsidR="006B0D2D" w:rsidRPr="00B80BDC" w:rsidRDefault="006B0D2D" w:rsidP="006B0D2D">
      <w:pPr>
        <w:spacing w:after="120" w:line="240" w:lineRule="auto"/>
        <w:ind w:firstLine="709"/>
        <w:jc w:val="both"/>
        <w:rPr>
          <w:rFonts w:ascii="Times New Roman" w:eastAsia="Times New Roman" w:hAnsi="Times New Roman" w:cs="Times New Roman"/>
          <w:lang w:eastAsia="tr-TR"/>
        </w:rPr>
      </w:pPr>
      <w:r w:rsidRPr="00B80BDC">
        <w:rPr>
          <w:rFonts w:ascii="Times New Roman" w:eastAsia="Times New Roman" w:hAnsi="Times New Roman" w:cs="Times New Roman"/>
          <w:lang w:eastAsia="tr-TR"/>
        </w:rPr>
        <w:t>Diğer yandan 1934 yılından sonra, Türkiye’nin özellikle İtalya’dan duyduğu tedirginlik artmıştır. Türkiye’yi o zamana kadar birlikte yürüdüğü Sovyetler Birliği’nin dostluğuyla yetinmeyerek İngiltere ve Fransa’ya yaklaşmaya iten ise bu tedirginlik olmuştur.</w:t>
      </w:r>
      <w:r w:rsidRPr="00B80BDC">
        <w:rPr>
          <w:rFonts w:ascii="Times New Roman" w:eastAsia="Times New Roman" w:hAnsi="Times New Roman" w:cs="Times New Roman"/>
          <w:vertAlign w:val="superscript"/>
          <w:lang w:eastAsia="tr-TR"/>
        </w:rPr>
        <w:footnoteReference w:id="1"/>
      </w:r>
      <w:r w:rsidRPr="00B80BDC">
        <w:rPr>
          <w:rFonts w:ascii="Times New Roman" w:eastAsia="Times New Roman" w:hAnsi="Times New Roman" w:cs="Times New Roman"/>
          <w:lang w:eastAsia="tr-TR"/>
        </w:rPr>
        <w:t xml:space="preserve"> </w:t>
      </w:r>
    </w:p>
    <w:p w14:paraId="42282163" w14:textId="77777777" w:rsidR="006B0D2D" w:rsidRPr="00B80BDC" w:rsidRDefault="006B0D2D" w:rsidP="006B0D2D">
      <w:pPr>
        <w:spacing w:after="120" w:line="240" w:lineRule="auto"/>
        <w:ind w:firstLine="709"/>
        <w:jc w:val="both"/>
        <w:rPr>
          <w:rFonts w:ascii="Times New Roman" w:eastAsia="Calibri" w:hAnsi="Times New Roman" w:cs="Times New Roman"/>
          <w:lang w:eastAsia="tr-TR"/>
        </w:rPr>
      </w:pPr>
      <w:r w:rsidRPr="00B80BDC">
        <w:rPr>
          <w:rFonts w:ascii="Times New Roman" w:eastAsia="Times New Roman" w:hAnsi="Times New Roman" w:cs="Times New Roman"/>
          <w:lang w:eastAsia="tr-TR"/>
        </w:rPr>
        <w:t>1929 Dünya Ekonomik bunalımı nedeniyle ekonomisi olumsuz etkilenen Türkiye’nin Batılı devletlerden yardım ve kredi istemeye yönelmiş olması da Türkiye’yi Batı’ya yaklaştıran diğer önemli etkenlerden biri olarak kabul edilebilir. Ancak belki de bunlar içinde en önemli etken, o yılların dünyasının siyasi konjonktürünün Türk dış politikasına etkisidir</w:t>
      </w:r>
      <w:r w:rsidRPr="00B80BDC">
        <w:rPr>
          <w:rFonts w:ascii="Times New Roman" w:eastAsia="Times New Roman" w:hAnsi="Times New Roman" w:cs="Times New Roman"/>
          <w:sz w:val="24"/>
          <w:szCs w:val="24"/>
          <w:lang w:eastAsia="tr-TR"/>
        </w:rPr>
        <w:t xml:space="preserve">. </w:t>
      </w:r>
      <w:r w:rsidRPr="00B80BDC">
        <w:rPr>
          <w:rFonts w:ascii="Times New Roman" w:eastAsia="Times New Roman" w:hAnsi="Times New Roman" w:cs="Times New Roman"/>
          <w:lang w:eastAsia="tr-TR"/>
        </w:rPr>
        <w:t xml:space="preserve">1933 yılı sonrasında dünyada devletlerarasında yaşanan kutuplaşma ve ikinci büyük bir savaşa doğru hızlı bir sürece girilmesi söz konusu olmuştur. Türkiye’nin stratejik öneminin artırmasına neden olan bu gelişmelerin, Türkiye’nin dış politikası üzerinde de etkisi olmuş ve Türkiye’yi Batılı bazı devletlere yaklaştırmıştır. Türkiye bu yıllarda Lozan Barışı nedeniyle Misak-ı Milli’yi çok büyük oranda gerçekleştirmiş olduğu için Lozan Barış Antlaşması’na dayalı mevcut durumu korumak istemiş ve anti-revizyonist bir politika izlemiştir. Almanya ve İtalya tehdidi karşısında da ülke güvenliğinin sağlanması amacıyla bir takım ittifaklara yönelmiştir. Bunu yaparken saldırgan bir politika izlememiş, bu devletlerle olan diplomatik ilişkilerini kesmeden ve gerektiğinde bir denge politikası çerçevesinde ilişkilerini yürütmüştür. Bu dış politika anlayışı ise Türkiye’yi, İngiltere ve Fransa’yla yakınlaşmıştır. </w:t>
      </w:r>
      <w:r w:rsidRPr="00B80BDC">
        <w:rPr>
          <w:rFonts w:ascii="Times New Roman" w:eastAsia="Calibri" w:hAnsi="Times New Roman" w:cs="Times New Roman"/>
          <w:lang w:eastAsia="tr-TR"/>
        </w:rPr>
        <w:t xml:space="preserve">Bu yakınlaşmanın bir yansıması olarak, Yunanistan’ın önerisiyle Türkiye, Milletler Cemiyeti’ne davet edilmiştir. Milletler Cemiyeti’nde ilk kez görülen davet uygulaması, Türkiye’nin uluslararası alanda ağırlığının artığını göstermesi bakımından önemlidir.  18 Temmuz 1932 tarihinde yapılan Cemiyet Genel Kurulunda yapılan oylamada kırk üç ülkenin onayıyla Türkiye, Milletler Cemiyeti’ne kabul edilmiştir. </w:t>
      </w:r>
    </w:p>
    <w:p w14:paraId="1895A1DE" w14:textId="77777777" w:rsidR="006B0D2D" w:rsidRPr="00B80BDC" w:rsidRDefault="006B0D2D" w:rsidP="006B0D2D">
      <w:pPr>
        <w:spacing w:after="120" w:line="240" w:lineRule="auto"/>
        <w:ind w:firstLine="709"/>
        <w:jc w:val="both"/>
        <w:rPr>
          <w:rFonts w:ascii="Times New Roman" w:eastAsia="Times New Roman" w:hAnsi="Times New Roman" w:cs="Times New Roman"/>
          <w:lang w:eastAsia="tr-TR"/>
        </w:rPr>
      </w:pPr>
      <w:r w:rsidRPr="00B80BDC">
        <w:rPr>
          <w:rFonts w:ascii="Times New Roman" w:eastAsia="Calibri" w:hAnsi="Times New Roman" w:cs="Times New Roman"/>
          <w:lang w:eastAsia="tr-TR"/>
        </w:rPr>
        <w:t xml:space="preserve">Türkiye’nin Milletler Cemiyeti’ne üye olmasının ardından Balkan devletleri arasında büyük bir yakınlaşma ve işbirliği yaşanmaya başlamıştır. Bu işbirliği Balkan Antantı adıyla anılan ittifakın 1934 yılında kurulmasıyla somutlaşmıştır. </w:t>
      </w:r>
      <w:r w:rsidRPr="00B80BDC">
        <w:rPr>
          <w:rFonts w:ascii="Times New Roman" w:eastAsia="Times New Roman" w:hAnsi="Times New Roman" w:cs="Times New Roman"/>
          <w:lang w:eastAsia="tr-TR"/>
        </w:rPr>
        <w:t xml:space="preserve">Bu arada belirtilmesi gereken önemli bir husus da, Türkiye’nin Batıya yakınlaşmasına karşın, Sovyetler Birliği’nin Türkiye’nin bu dönem attığı dış politika adımlarında önemini bir süre daha korumuş olmasıdır. Tüm bu gelişmeler, Türkiye’nin Batılı devletlere içinde bulunduğu birtakım zorunluluklar nedeniyle yaklaştığı şeklinde yorumlanabilirse de, bu gelişmeler Türkiye’nin Batılı devletlere karşı duyduğu güvensizliğin azaltmaya başladığı şeklinde de yorumlanabilir. Sonuçta bu yıllarda, Türkiye dış politikasını her türlü kamplaşmadan uzak kalıp, etkin, uluslararası hukuka ve işbirliğine saygı gösteren, maceralara sürüklenmeyecek bir biçimde saptamıştır. Bunun dışında Lozan’da istediği gibi çözümleyemediği Boğazların statüsü ve Hatay sorunu gibi Türkiye’nin güvenliğini, bağımsızlığını ve toprak bütünlüğünü ilgilendiren bazı konuları da bu dönemde kendi lehine çözmüştür. </w:t>
      </w:r>
    </w:p>
    <w:p w14:paraId="3F6F7F64" w14:textId="77777777" w:rsidR="006B0D2D" w:rsidRPr="00B80BDC" w:rsidRDefault="006B0D2D" w:rsidP="006B0D2D">
      <w:pPr>
        <w:spacing w:after="120" w:line="240" w:lineRule="auto"/>
        <w:ind w:firstLine="709"/>
        <w:jc w:val="both"/>
        <w:rPr>
          <w:rFonts w:ascii="Times New Roman" w:eastAsia="Calibri" w:hAnsi="Times New Roman" w:cs="Times New Roman"/>
          <w:lang w:eastAsia="tr-TR"/>
        </w:rPr>
      </w:pPr>
      <w:r w:rsidRPr="00B80BDC">
        <w:rPr>
          <w:rFonts w:ascii="Times New Roman" w:eastAsia="Calibri" w:hAnsi="Times New Roman" w:cs="Times New Roman"/>
          <w:lang w:eastAsia="tr-TR"/>
        </w:rPr>
        <w:lastRenderedPageBreak/>
        <w:t xml:space="preserve">1935 yılında İtalya’nın Habeşistan’ı işgali ve Almanya’nın Versay Antlaşması’nı sık sık ihlal etmeye başlaması dünyayı hızla yeni bir savaşa doğru sürüklemiştir. Bu ortam içinde Türkiye ve bazı Ortadoğu ülkeleri güvenlik kaygısıyla işbirliği arayışlarına yönelmişlerdir. </w:t>
      </w:r>
      <w:r w:rsidRPr="00B80BDC">
        <w:rPr>
          <w:rFonts w:ascii="Times New Roman" w:eastAsia="Calibri" w:hAnsi="Times New Roman" w:cs="Times New Roman"/>
          <w:vertAlign w:val="superscript"/>
          <w:lang w:eastAsia="tr-TR"/>
        </w:rPr>
        <w:footnoteReference w:id="2"/>
      </w:r>
      <w:r w:rsidRPr="00B80BDC">
        <w:rPr>
          <w:rFonts w:ascii="Times New Roman" w:eastAsia="Calibri" w:hAnsi="Times New Roman" w:cs="Times New Roman"/>
          <w:lang w:eastAsia="tr-TR"/>
        </w:rPr>
        <w:t xml:space="preserve"> İtalya’nın Habeşistan’ı işgali sonrasında daha yakın bir tehditle karşı karşıya kalan Türkiye, İran ve Irak, yeniden bir araya gelmişlerdir. Afganistan’ın da katılmasıyla 8 Temmuz 1937’de Tahran’da Sadabat Sarayı’nda beş yıllık bir süre için geçerli olacak, Sadabat Paktı imzalanmıştır. Bu pakt ile taraflar, kendi aralarında dostluk ilişkilerini devam ettirmek, Milletler Cemiyeti’nin oluşturduğu barış ortamına bağlı kalmak, birbirlerinin iç işlerine karışmamak, ortak çıkarları ilgilendiren konularda birbirleri ile temas etmek ve saldırı amaçlı hiçbir siyasal birlikteliğe girmemek konularında anlaşmışlardır.</w:t>
      </w:r>
      <w:r w:rsidRPr="00B80BDC">
        <w:rPr>
          <w:rFonts w:ascii="Times New Roman" w:eastAsia="Calibri" w:hAnsi="Times New Roman" w:cs="Times New Roman"/>
          <w:vertAlign w:val="superscript"/>
          <w:lang w:eastAsia="tr-TR"/>
        </w:rPr>
        <w:footnoteReference w:id="3"/>
      </w:r>
    </w:p>
    <w:p w14:paraId="3376EC95" w14:textId="77777777" w:rsidR="006B0D2D" w:rsidRPr="00B80BDC" w:rsidRDefault="006B0D2D" w:rsidP="006B0D2D">
      <w:pPr>
        <w:spacing w:after="120" w:line="240" w:lineRule="auto"/>
        <w:ind w:firstLine="709"/>
        <w:jc w:val="both"/>
        <w:rPr>
          <w:rFonts w:ascii="Times New Roman" w:eastAsia="Times New Roman" w:hAnsi="Times New Roman" w:cs="Times New Roman"/>
          <w:lang w:eastAsia="tr-TR"/>
        </w:rPr>
      </w:pPr>
      <w:r w:rsidRPr="00B80BDC">
        <w:rPr>
          <w:rFonts w:ascii="Times New Roman" w:eastAsia="Times New Roman" w:hAnsi="Times New Roman" w:cs="Times New Roman"/>
          <w:lang w:eastAsia="tr-TR"/>
        </w:rPr>
        <w:t>İki Savaş Arası dönemde, ulusal çıkarlarını göz ardı etmeden, uluslararası barış ve adaletin sağlanmasına yönelik politikasını titizlikle yürütmeye çalışırken dünyada yaşanan bunalımlar ve peşi sıra gelen kutuplaşmalar sırasında, izlediği çok yönlü politikayla her iki bloktaki devletlerin değer verdiği ve ittifakını sağlamaya çalıştığı bir ülke olmuştur.</w:t>
      </w:r>
      <w:r w:rsidRPr="00B80BDC">
        <w:rPr>
          <w:rFonts w:ascii="Times New Roman" w:eastAsia="Times New Roman" w:hAnsi="Times New Roman" w:cs="Times New Roman"/>
          <w:vertAlign w:val="superscript"/>
          <w:lang w:eastAsia="tr-TR"/>
        </w:rPr>
        <w:footnoteReference w:id="4"/>
      </w:r>
    </w:p>
    <w:p w14:paraId="745ECE04" w14:textId="77777777" w:rsidR="006B0D2D" w:rsidRPr="00B80BDC" w:rsidRDefault="006B0D2D" w:rsidP="006B0D2D">
      <w:pPr>
        <w:spacing w:after="120" w:line="240" w:lineRule="auto"/>
        <w:ind w:firstLine="709"/>
        <w:jc w:val="both"/>
        <w:rPr>
          <w:rFonts w:ascii="Times New Roman" w:eastAsia="Times New Roman" w:hAnsi="Times New Roman" w:cs="Times New Roman"/>
          <w:lang w:eastAsia="tr-TR"/>
        </w:rPr>
      </w:pPr>
      <w:r w:rsidRPr="00B80BDC">
        <w:rPr>
          <w:rFonts w:ascii="Times New Roman" w:eastAsia="Times New Roman" w:hAnsi="Times New Roman" w:cs="Times New Roman"/>
          <w:lang w:eastAsia="tr-TR"/>
        </w:rPr>
        <w:t xml:space="preserve">Atatürk’ün 1919-1938 yılları arasına damgasını vuran dış politikadaki hedeflerini ise şu şekilde sıralamak mümkündür: Her şeyden önce Türk ulusunun gücüne dayanmak; bir ulus devlet kurmak ve ulusal sınırlar içinde kalmak; gerçekleşmesi mümkün olmayan emeller peşinde koşmamak; tam bağımsızlık ve uluslararası ilişkilerde eşitliğe dayanan karşılıklı ilişkiler, dostluklar ve ittifaklar kurmak; ulusal dış politikayı yürütürken her zaman iç politikaya da özen göstermek; diğer devletlerin iç politikalarından ve yönetimlerinden etkilenmemek; dış politikada ve diplomaside hukuk, barış, akıl ve bilim mantığını temel yol gösterici olarak kullanmak. </w:t>
      </w:r>
    </w:p>
    <w:p w14:paraId="74127100" w14:textId="77777777" w:rsidR="006B0D2D" w:rsidRDefault="006B0D2D" w:rsidP="006B0D2D">
      <w:pPr>
        <w:spacing w:before="120" w:after="360" w:line="240" w:lineRule="auto"/>
        <w:ind w:firstLine="709"/>
        <w:jc w:val="both"/>
        <w:rPr>
          <w:rFonts w:ascii="Times New Roman" w:eastAsia="Times New Roman" w:hAnsi="Times New Roman" w:cs="Times New Roman"/>
          <w:iCs/>
          <w:lang w:eastAsia="tr-TR"/>
        </w:rPr>
      </w:pPr>
      <w:r w:rsidRPr="00B80BDC">
        <w:rPr>
          <w:rFonts w:ascii="Times New Roman" w:eastAsia="Times New Roman" w:hAnsi="Times New Roman" w:cs="Times New Roman"/>
          <w:lang w:eastAsia="tr-TR"/>
        </w:rPr>
        <w:t>Atatürk döneminde belirlenen tüm bu hedeflere ulaşmak için izlenen dış politika anlayışını aktif, planlı, ileriyi görebilen, maceracılıktan uzak, hukuka uygun, barışçı, adil, emperyalist nitelik taşımayan, iş birliğine açık, tam bağımsızlığa inanan, akılcı, gerçekçi, tutarlı, stratejik öneminin farkında olmasından kaynaklı dengeci ve çok yönlü olarak nitelendirmek mümkündür. İzlenen bu dış politikanın ayırıcı özellikleri de Atatürk’ün dış politikaya yönelik politikaların belirlenmesinde temel bir ölçü olarak kullandığı ve esnetmeden uyguladığı, ayrıca onun kişilik ve liderlik özellikleriyle de örtüşen bazı temel ilkelerinin sonucunda</w:t>
      </w:r>
      <w:r w:rsidRPr="00B80BDC">
        <w:rPr>
          <w:rFonts w:ascii="Times New Roman" w:eastAsia="Times New Roman" w:hAnsi="Times New Roman" w:cs="Times New Roman"/>
          <w:color w:val="FF0000"/>
          <w:lang w:eastAsia="tr-TR"/>
        </w:rPr>
        <w:t xml:space="preserve"> </w:t>
      </w:r>
      <w:r w:rsidRPr="00B80BDC">
        <w:rPr>
          <w:rFonts w:ascii="Times New Roman" w:eastAsia="Times New Roman" w:hAnsi="Times New Roman" w:cs="Times New Roman"/>
          <w:lang w:eastAsia="tr-TR"/>
        </w:rPr>
        <w:t xml:space="preserve">ortaya çıkmıştır. Bu ilkeleri gerçekçilik, kararlılık, hukuka bağlılık, barışçılık, akılcılık, bağımsızlık, </w:t>
      </w:r>
      <w:r w:rsidRPr="00B80BDC">
        <w:rPr>
          <w:rFonts w:ascii="Times New Roman" w:eastAsia="Times New Roman" w:hAnsi="Times New Roman" w:cs="Times New Roman"/>
          <w:iCs/>
          <w:lang w:eastAsia="tr-TR"/>
        </w:rPr>
        <w:t>diyaloğa açık olmak, batıcılık, güvenlik politikası ve ittifaklar sistemi şeklinde sıralanabilir.</w:t>
      </w:r>
    </w:p>
    <w:p w14:paraId="02860F74" w14:textId="77777777" w:rsidR="00A04EC4" w:rsidRDefault="00A04EC4"/>
    <w:sectPr w:rsidR="00A04E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0FA1D" w14:textId="77777777" w:rsidR="00541287" w:rsidRDefault="00541287" w:rsidP="006B0D2D">
      <w:pPr>
        <w:spacing w:after="0" w:line="240" w:lineRule="auto"/>
      </w:pPr>
      <w:r>
        <w:separator/>
      </w:r>
    </w:p>
  </w:endnote>
  <w:endnote w:type="continuationSeparator" w:id="0">
    <w:p w14:paraId="53D3ABD6" w14:textId="77777777" w:rsidR="00541287" w:rsidRDefault="00541287" w:rsidP="006B0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317A9" w14:textId="77777777" w:rsidR="00541287" w:rsidRDefault="00541287" w:rsidP="006B0D2D">
      <w:pPr>
        <w:spacing w:after="0" w:line="240" w:lineRule="auto"/>
      </w:pPr>
      <w:r>
        <w:separator/>
      </w:r>
    </w:p>
  </w:footnote>
  <w:footnote w:type="continuationSeparator" w:id="0">
    <w:p w14:paraId="38623B7F" w14:textId="77777777" w:rsidR="00541287" w:rsidRDefault="00541287" w:rsidP="006B0D2D">
      <w:pPr>
        <w:spacing w:after="0" w:line="240" w:lineRule="auto"/>
      </w:pPr>
      <w:r>
        <w:continuationSeparator/>
      </w:r>
    </w:p>
  </w:footnote>
  <w:footnote w:id="1">
    <w:p w14:paraId="70345492" w14:textId="77777777" w:rsidR="006B0D2D" w:rsidRPr="00FB7208" w:rsidRDefault="006B0D2D" w:rsidP="006B0D2D">
      <w:pPr>
        <w:pStyle w:val="DipnotMetni"/>
        <w:ind w:left="142" w:hanging="142"/>
        <w:jc w:val="both"/>
        <w:rPr>
          <w:sz w:val="18"/>
          <w:szCs w:val="18"/>
        </w:rPr>
      </w:pPr>
      <w:r w:rsidRPr="00FB7208">
        <w:rPr>
          <w:rStyle w:val="DipnotBavurusu"/>
          <w:sz w:val="18"/>
          <w:szCs w:val="18"/>
        </w:rPr>
        <w:footnoteRef/>
      </w:r>
      <w:r w:rsidRPr="00FB7208">
        <w:rPr>
          <w:sz w:val="18"/>
          <w:szCs w:val="18"/>
        </w:rPr>
        <w:t xml:space="preserve"> Ülman, </w:t>
      </w:r>
      <w:r w:rsidRPr="00FB7208">
        <w:rPr>
          <w:b/>
          <w:sz w:val="18"/>
          <w:szCs w:val="18"/>
        </w:rPr>
        <w:t>a.g.m</w:t>
      </w:r>
      <w:r w:rsidRPr="00FB7208">
        <w:rPr>
          <w:sz w:val="18"/>
          <w:szCs w:val="18"/>
        </w:rPr>
        <w:t>., s.244-245.</w:t>
      </w:r>
    </w:p>
  </w:footnote>
  <w:footnote w:id="2">
    <w:p w14:paraId="229D6073" w14:textId="77777777" w:rsidR="006B0D2D" w:rsidRPr="00FB7208" w:rsidRDefault="006B0D2D" w:rsidP="006B0D2D">
      <w:pPr>
        <w:pStyle w:val="DipnotMetni"/>
        <w:ind w:left="142" w:hanging="142"/>
        <w:jc w:val="both"/>
        <w:rPr>
          <w:sz w:val="18"/>
          <w:szCs w:val="18"/>
        </w:rPr>
      </w:pPr>
      <w:r w:rsidRPr="00FB7208">
        <w:rPr>
          <w:rStyle w:val="DipnotBavurusu"/>
          <w:sz w:val="18"/>
          <w:szCs w:val="18"/>
        </w:rPr>
        <w:footnoteRef/>
      </w:r>
      <w:r w:rsidRPr="00FB7208">
        <w:rPr>
          <w:sz w:val="18"/>
          <w:szCs w:val="18"/>
        </w:rPr>
        <w:t xml:space="preserve"> Gönlübol ve Sar, </w:t>
      </w:r>
      <w:r w:rsidRPr="00BD6A0F">
        <w:rPr>
          <w:b/>
          <w:sz w:val="18"/>
          <w:szCs w:val="18"/>
        </w:rPr>
        <w:t>a.g.m</w:t>
      </w:r>
      <w:r w:rsidRPr="00FB7208">
        <w:rPr>
          <w:i/>
          <w:sz w:val="18"/>
          <w:szCs w:val="18"/>
        </w:rPr>
        <w:t>.,</w:t>
      </w:r>
      <w:r w:rsidRPr="00FB7208">
        <w:rPr>
          <w:sz w:val="18"/>
          <w:szCs w:val="18"/>
        </w:rPr>
        <w:t xml:space="preserve"> s.106-107</w:t>
      </w:r>
    </w:p>
  </w:footnote>
  <w:footnote w:id="3">
    <w:p w14:paraId="0A89D58D" w14:textId="77777777" w:rsidR="006B0D2D" w:rsidRPr="00FB7208" w:rsidRDefault="006B0D2D" w:rsidP="006B0D2D">
      <w:pPr>
        <w:pStyle w:val="DipnotMetni"/>
        <w:ind w:left="142" w:hanging="142"/>
        <w:jc w:val="both"/>
        <w:rPr>
          <w:sz w:val="18"/>
          <w:szCs w:val="18"/>
        </w:rPr>
      </w:pPr>
      <w:r w:rsidRPr="00FB7208">
        <w:rPr>
          <w:rStyle w:val="DipnotBavurusu"/>
          <w:sz w:val="18"/>
          <w:szCs w:val="18"/>
        </w:rPr>
        <w:footnoteRef/>
      </w:r>
      <w:r w:rsidRPr="00FB7208">
        <w:rPr>
          <w:sz w:val="18"/>
          <w:szCs w:val="18"/>
        </w:rPr>
        <w:t xml:space="preserve"> Armaoğlu, </w:t>
      </w:r>
      <w:r w:rsidRPr="00FB7208">
        <w:rPr>
          <w:b/>
          <w:sz w:val="18"/>
          <w:szCs w:val="18"/>
        </w:rPr>
        <w:t>20. Yüzyıl Siyasi Tarihi</w:t>
      </w:r>
      <w:r w:rsidRPr="00FB7208">
        <w:rPr>
          <w:sz w:val="18"/>
          <w:szCs w:val="18"/>
        </w:rPr>
        <w:t>, s. 347.</w:t>
      </w:r>
    </w:p>
  </w:footnote>
  <w:footnote w:id="4">
    <w:p w14:paraId="64D2376B" w14:textId="77777777" w:rsidR="006B0D2D" w:rsidRPr="00FB7208" w:rsidRDefault="006B0D2D" w:rsidP="006B0D2D">
      <w:pPr>
        <w:pStyle w:val="DipnotMetni"/>
        <w:ind w:left="142" w:hanging="142"/>
        <w:jc w:val="both"/>
        <w:rPr>
          <w:sz w:val="18"/>
          <w:szCs w:val="18"/>
          <w:lang w:val="tr-TR"/>
        </w:rPr>
      </w:pPr>
      <w:r w:rsidRPr="00FB7208">
        <w:rPr>
          <w:rStyle w:val="DipnotBavurusu"/>
          <w:sz w:val="18"/>
          <w:szCs w:val="18"/>
        </w:rPr>
        <w:footnoteRef/>
      </w:r>
      <w:r w:rsidRPr="00FB7208">
        <w:rPr>
          <w:sz w:val="18"/>
          <w:szCs w:val="18"/>
        </w:rPr>
        <w:t xml:space="preserve"> Armaoğlu, </w:t>
      </w:r>
      <w:r w:rsidRPr="00FB7208">
        <w:rPr>
          <w:b/>
          <w:sz w:val="18"/>
          <w:szCs w:val="18"/>
        </w:rPr>
        <w:t xml:space="preserve">20. Yüzyıl Siyasi Tarihi,  </w:t>
      </w:r>
      <w:r w:rsidRPr="00FB7208">
        <w:rPr>
          <w:sz w:val="18"/>
          <w:szCs w:val="18"/>
        </w:rPr>
        <w:t>s. 336.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5F"/>
    <w:rsid w:val="001D23EF"/>
    <w:rsid w:val="0031485F"/>
    <w:rsid w:val="004F5168"/>
    <w:rsid w:val="00541287"/>
    <w:rsid w:val="006B0D2D"/>
    <w:rsid w:val="00744A06"/>
    <w:rsid w:val="00A04E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054C2"/>
  <w15:chartTrackingRefBased/>
  <w15:docId w15:val="{4C5C7A00-460D-4365-86BA-229A2A26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D2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
    <w:basedOn w:val="Normal"/>
    <w:link w:val="DipnotMetniChar1"/>
    <w:uiPriority w:val="99"/>
    <w:rsid w:val="006B0D2D"/>
    <w:pPr>
      <w:spacing w:after="0" w:line="240" w:lineRule="auto"/>
    </w:pPr>
    <w:rPr>
      <w:rFonts w:ascii="Times New Roman" w:eastAsia="Calibri" w:hAnsi="Times New Roman" w:cs="Times New Roman"/>
      <w:sz w:val="20"/>
      <w:szCs w:val="20"/>
      <w:lang w:val="x-none" w:eastAsia="x-none"/>
    </w:rPr>
  </w:style>
  <w:style w:type="character" w:customStyle="1" w:styleId="DipnotMetniChar">
    <w:name w:val="Dipnot Metni Char"/>
    <w:basedOn w:val="VarsaylanParagrafYazTipi"/>
    <w:uiPriority w:val="99"/>
    <w:semiHidden/>
    <w:rsid w:val="006B0D2D"/>
    <w:rPr>
      <w:sz w:val="20"/>
      <w:szCs w:val="20"/>
    </w:rPr>
  </w:style>
  <w:style w:type="character" w:customStyle="1" w:styleId="DipnotMetniChar1">
    <w:name w:val="Dipnot Metni Char1"/>
    <w:aliases w:val="Char Char"/>
    <w:link w:val="DipnotMetni"/>
    <w:uiPriority w:val="99"/>
    <w:rsid w:val="006B0D2D"/>
    <w:rPr>
      <w:rFonts w:ascii="Times New Roman" w:eastAsia="Calibri" w:hAnsi="Times New Roman" w:cs="Times New Roman"/>
      <w:sz w:val="20"/>
      <w:szCs w:val="20"/>
      <w:lang w:val="x-none" w:eastAsia="x-none"/>
    </w:rPr>
  </w:style>
  <w:style w:type="character" w:styleId="DipnotBavurusu">
    <w:name w:val="footnote reference"/>
    <w:uiPriority w:val="99"/>
    <w:qFormat/>
    <w:rsid w:val="006B0D2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1010</Words>
  <Characters>5761</Characters>
  <Application>Microsoft Office Word</Application>
  <DocSecurity>0</DocSecurity>
  <Lines>48</Lines>
  <Paragraphs>13</Paragraphs>
  <ScaleCrop>false</ScaleCrop>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Hakem</cp:lastModifiedBy>
  <cp:revision>3</cp:revision>
  <dcterms:created xsi:type="dcterms:W3CDTF">2017-11-15T19:44:00Z</dcterms:created>
  <dcterms:modified xsi:type="dcterms:W3CDTF">2024-09-10T08:47:00Z</dcterms:modified>
</cp:coreProperties>
</file>