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847E" w14:textId="77777777" w:rsidR="00F73B77" w:rsidRPr="00B80BDC" w:rsidRDefault="00F73B77" w:rsidP="00F73B77">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29B4DC0C" w14:textId="77777777" w:rsidR="00F73B77" w:rsidRPr="00B80BDC" w:rsidRDefault="00F73B77" w:rsidP="00F73B77">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1A6A7F05" w14:textId="31D2DBD2" w:rsidR="00F73B77" w:rsidRDefault="00F73B77" w:rsidP="00F73B77">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1B73EF">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F73B77" w:rsidRPr="00B80BDC" w14:paraId="3432BAB1" w14:textId="77777777" w:rsidTr="000B0BFF">
        <w:trPr>
          <w:trHeight w:val="45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97A150" w14:textId="77777777" w:rsidR="00F73B77" w:rsidRPr="00B80BDC" w:rsidRDefault="00F73B77" w:rsidP="000B0BFF">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13</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0E1419E9" w14:textId="77777777" w:rsidR="00F73B77" w:rsidRPr="00B80BDC" w:rsidRDefault="00F73B77" w:rsidP="000B0BFF">
            <w:pPr>
              <w:spacing w:before="480"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 xml:space="preserve">İsmet İnönü Dönemi </w:t>
            </w:r>
            <w:r>
              <w:rPr>
                <w:rFonts w:ascii="Times New Roman" w:eastAsia="Times New Roman" w:hAnsi="Times New Roman" w:cs="Times New Roman"/>
                <w:b/>
                <w:color w:val="FF0000"/>
                <w:lang w:eastAsia="tr-TR"/>
              </w:rPr>
              <w:t>(</w:t>
            </w:r>
            <w:r w:rsidRPr="00B80BDC">
              <w:rPr>
                <w:rFonts w:ascii="Times New Roman" w:eastAsia="Times New Roman" w:hAnsi="Times New Roman" w:cs="Times New Roman"/>
                <w:b/>
                <w:color w:val="FF0000"/>
                <w:lang w:eastAsia="tr-TR"/>
              </w:rPr>
              <w:t>1938-1950</w:t>
            </w:r>
            <w:r>
              <w:rPr>
                <w:rFonts w:ascii="Times New Roman" w:eastAsia="Times New Roman" w:hAnsi="Times New Roman" w:cs="Times New Roman"/>
                <w:b/>
                <w:color w:val="FF0000"/>
                <w:lang w:eastAsia="tr-TR"/>
              </w:rPr>
              <w:t>);</w:t>
            </w:r>
            <w:r w:rsidRPr="00B80BDC">
              <w:rPr>
                <w:rFonts w:ascii="Times New Roman" w:eastAsia="Times New Roman" w:hAnsi="Times New Roman" w:cs="Times New Roman"/>
                <w:b/>
                <w:color w:val="FF0000"/>
                <w:lang w:eastAsia="tr-TR"/>
              </w:rPr>
              <w:t xml:space="preserve"> İkinci Dünya Savaşı Yıllarında İç Politika</w:t>
            </w:r>
            <w:r>
              <w:rPr>
                <w:rFonts w:ascii="Times New Roman" w:eastAsia="Times New Roman" w:hAnsi="Times New Roman" w:cs="Times New Roman"/>
                <w:b/>
                <w:color w:val="FF0000"/>
                <w:lang w:eastAsia="tr-TR"/>
              </w:rPr>
              <w:t xml:space="preserve">; Demokrat Parti’nin Kuruluşu </w:t>
            </w:r>
          </w:p>
        </w:tc>
      </w:tr>
      <w:tr w:rsidR="00F73B77" w:rsidRPr="00B80BDC" w14:paraId="1934941F" w14:textId="77777777" w:rsidTr="000B0BFF">
        <w:trPr>
          <w:trHeight w:val="960"/>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1930E7E1" w14:textId="77777777" w:rsidR="00F73B77" w:rsidRPr="00B80BDC" w:rsidRDefault="00F73B77" w:rsidP="000B0BFF">
            <w:pPr>
              <w:spacing w:after="0" w:line="240" w:lineRule="auto"/>
              <w:jc w:val="center"/>
              <w:rPr>
                <w:rFonts w:ascii="Times New Roman" w:eastAsia="Times New Roman" w:hAnsi="Times New Roman" w:cs="Times New Roman"/>
                <w:b/>
                <w:color w:val="FF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043C5279" w14:textId="77777777" w:rsidR="00F73B77" w:rsidRPr="00B80BDC" w:rsidRDefault="00F73B77" w:rsidP="000B0BFF">
            <w:pPr>
              <w:spacing w:after="0" w:line="240" w:lineRule="auto"/>
              <w:jc w:val="center"/>
              <w:rPr>
                <w:rFonts w:ascii="Times New Roman" w:eastAsia="Times New Roman" w:hAnsi="Times New Roman" w:cs="Times New Roman"/>
                <w:b/>
                <w:color w:val="FF0000"/>
                <w:lang w:eastAsia="tr-TR"/>
              </w:rPr>
            </w:pPr>
          </w:p>
        </w:tc>
      </w:tr>
    </w:tbl>
    <w:p w14:paraId="11232A87" w14:textId="77777777" w:rsidR="00F73B77" w:rsidRPr="00B80BDC" w:rsidRDefault="00F73B77" w:rsidP="00F73B77">
      <w:pPr>
        <w:spacing w:before="120" w:after="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İsmet İnönü Dönemi 1938-1950</w:t>
      </w:r>
    </w:p>
    <w:p w14:paraId="0D23388A"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Atatürk’ün 10 Kasım 1938 günü ölmesi Türkiye’de yeni bir dönemi başlatmıştır. Atatürk’ün ölümü üzerine 11 Kasım günü TBMM’yi yeni Cumhurbaşkanı’nı seçmek üzere hemen toplantıya çağırmıştır. Aynı gün toplanan TBMM’de İsmet İnönü Cumhurbaşkanı seçilmiştir.</w:t>
      </w:r>
      <w:r w:rsidRPr="00B80BDC">
        <w:rPr>
          <w:rFonts w:ascii="Times New Roman" w:eastAsia="Calibri" w:hAnsi="Times New Roman" w:cs="Times New Roman"/>
          <w:vertAlign w:val="superscript"/>
          <w:lang w:val="x-none" w:eastAsia="x-none"/>
        </w:rPr>
        <w:footnoteReference w:id="1"/>
      </w:r>
      <w:r w:rsidRPr="00B80BDC">
        <w:rPr>
          <w:rFonts w:ascii="Times New Roman" w:eastAsia="Calibri" w:hAnsi="Times New Roman" w:cs="Times New Roman"/>
          <w:lang w:val="x-none" w:eastAsia="x-none"/>
        </w:rPr>
        <w:t xml:space="preserve"> </w:t>
      </w:r>
    </w:p>
    <w:p w14:paraId="1B3CC227"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Atatürk’ün ölümü ile sadece Cumhurbaşkanlığı değil CHP’nin Genel Başkanlığı da boşalmıştı. Bu boşluğun kapanması, yani CHP Genel Başkanı’nı seçmek için parti tüzüğü gereği, olağanüstü kurultayın toplanması gerekliydi.</w:t>
      </w:r>
      <w:r w:rsidRPr="00B80BDC">
        <w:rPr>
          <w:rFonts w:ascii="Times New Roman" w:eastAsia="Calibri" w:hAnsi="Times New Roman" w:cs="Times New Roman"/>
          <w:vertAlign w:val="superscript"/>
          <w:lang w:val="x-none" w:eastAsia="x-none"/>
        </w:rPr>
        <w:footnoteReference w:id="2"/>
      </w:r>
      <w:r w:rsidRPr="00B80BDC">
        <w:rPr>
          <w:rFonts w:ascii="Times New Roman" w:eastAsia="Calibri" w:hAnsi="Times New Roman" w:cs="Times New Roman"/>
          <w:lang w:val="x-none" w:eastAsia="x-none"/>
        </w:rPr>
        <w:t xml:space="preserve"> Bu gelişme üzerine, Celal Bayar’ın çağrısı ile 26 Aralık 1938’de toplanan CHP Olağanüstü Kurultayı’nda İnönü, Değişmez Genel Başkan seçilirken kendisine ‘Milli Şef’ unvanı da verilmiştir.</w:t>
      </w:r>
      <w:r w:rsidRPr="00B80BDC">
        <w:rPr>
          <w:rFonts w:ascii="Times New Roman" w:eastAsia="Calibri" w:hAnsi="Times New Roman" w:cs="Times New Roman"/>
          <w:vertAlign w:val="superscript"/>
          <w:lang w:val="x-none" w:eastAsia="x-none"/>
        </w:rPr>
        <w:footnoteReference w:id="3"/>
      </w:r>
      <w:r w:rsidRPr="00B80BDC">
        <w:rPr>
          <w:rFonts w:ascii="Times New Roman" w:eastAsia="Calibri" w:hAnsi="Times New Roman" w:cs="Times New Roman"/>
          <w:lang w:val="x-none" w:eastAsia="x-none"/>
        </w:rPr>
        <w:t xml:space="preserve"> Atatürk de bu kurultayda CHP’nin ‘Ebedi Başkanı’ olarak nitelendirilmiştir.</w:t>
      </w:r>
      <w:r w:rsidRPr="00B80BDC">
        <w:rPr>
          <w:rFonts w:ascii="Times New Roman" w:eastAsia="Calibri" w:hAnsi="Times New Roman" w:cs="Times New Roman"/>
          <w:vertAlign w:val="superscript"/>
          <w:lang w:val="x-none" w:eastAsia="x-none"/>
        </w:rPr>
        <w:footnoteReference w:id="4"/>
      </w:r>
    </w:p>
    <w:p w14:paraId="04F1189B"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İnönü bu süreçte bir yandan hükümet ve parti üzerindeki siyasi otoritesini arttırma yönünde çaba sarf ederken, diğer yandan da, Cumhuriyet’in ilk yıllarında çeşitli nedenlerle Atatürk ile anlaşmazlığa düşerek siyasi alandan uzaklaşan ve Atatürk’e karşıt olarak bilinen Kazım Karabekir, Hüseyin Cahit Yalçın, Fethi Okyar, Ali Fuat Cebesoy, Refet Bele ve Rauf Orbay devlet adamlarıyla ulusal birlik doğrultusunda yeniden bağlantı kurmuş ve onlarla uzlaşmıştır.</w:t>
      </w:r>
      <w:r w:rsidRPr="00B80BDC">
        <w:rPr>
          <w:rFonts w:ascii="Times New Roman" w:eastAsia="Calibri" w:hAnsi="Times New Roman" w:cs="Times New Roman"/>
          <w:vertAlign w:val="superscript"/>
          <w:lang w:val="x-none" w:eastAsia="x-none"/>
        </w:rPr>
        <w:footnoteReference w:id="5"/>
      </w:r>
      <w:r w:rsidRPr="00B80BDC">
        <w:rPr>
          <w:rFonts w:ascii="Times New Roman" w:eastAsia="Calibri" w:hAnsi="Times New Roman" w:cs="Times New Roman"/>
          <w:lang w:val="x-none" w:eastAsia="x-none"/>
        </w:rPr>
        <w:t xml:space="preserve"> </w:t>
      </w:r>
    </w:p>
    <w:p w14:paraId="30499BE5"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 xml:space="preserve">Olaylar bu şekilde cereyan ederken, 25 Ocak 1939’da CHP Parti Divanı toplanmış ve burada hem seçim kararı alınmış hem de Celal Bayar Hükümeti istifa etmiştir. İnönü de bu istifayı kabul ederek yeni hükümeti kurma görevini Refik Saydam’a vermiştir. </w:t>
      </w:r>
    </w:p>
    <w:p w14:paraId="12EE72C4"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Birinci Dünya Savaşı’ndan sonra imzalanan Versailles Antlaşması ile tam anlamıyla felç edilen Almanya, Adolf Hitler’in Nasyonal Sosyalist rejiminin güçlenmesiyle Avrupa’da önemli bir tehdit unsuru olmaya başlamıştır. Hitler, rejimini iyice güçlendirdikten sonra Versailles hükümlerini tanımadığını ilan etmiş ve ülkesini kötü duruma düşürmüş olan İngiltere ve Fransa ile boy ölçüşebilmek için İtalya’nın Faşist lideri Benito Mussolini ile Ekim 1936’da anlaşarak Berlin – Roma Eksenini ilan etmiştir. Bir ay sonra da Almanya ve Japonya her yerde komünizmle savaşma konusunda anlaşarak Anti-Komitern Pakt’ı imzalamış, Ocak 1937’de İtalya’nın bu ikiliye katılmasıyla da İkinci Dünya Savaşı boyunca Mihver Devletleri olarak isimlendirilecek olan grup ortaya çıkmıştır.</w:t>
      </w:r>
      <w:r w:rsidRPr="00B80BDC">
        <w:rPr>
          <w:rFonts w:ascii="Times New Roman" w:eastAsia="Calibri" w:hAnsi="Times New Roman" w:cs="Times New Roman"/>
          <w:vertAlign w:val="superscript"/>
          <w:lang w:val="x-none" w:eastAsia="x-none"/>
        </w:rPr>
        <w:footnoteReference w:id="6"/>
      </w:r>
      <w:r w:rsidRPr="00B80BDC">
        <w:rPr>
          <w:rFonts w:ascii="Times New Roman" w:eastAsia="Calibri" w:hAnsi="Times New Roman" w:cs="Times New Roman"/>
          <w:lang w:val="x-none" w:eastAsia="x-none"/>
        </w:rPr>
        <w:t xml:space="preserve">   </w:t>
      </w:r>
    </w:p>
    <w:p w14:paraId="60B5831F"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Almanya’nın Avusturya ve Çekoslovakya’yı 15 Mart 1939’da topraklarına katması ve İtalya’nın Nisan 1939’da Arnavutluk’u işgali, dünyanın yeni bir savaşa doğru sürüklendiğinin kesin habercisi gibiydi. Böylece savaş, geri dönülmez bir noktaya gelmiştir. Almanya’nın 1 Eylül 1939’da savaş ilan etmeye gerek bile duymadan Polonya’ya saldırmasıyla beklenen savaşın ilk sıcak çatışması başlamıştır. 3 Eylülde İngiltere ve Fransa’nın Almanya’ya savaş ilan etmesine kadar Alman orduları Polonya’nın Kuzey, Güney ve Doğu kısımlarını kuşatma altına alarak kısa süre içerisinde işgali gerçekleştirmiş ve İkinci Dünya Savaşı başlamıştır.</w:t>
      </w:r>
    </w:p>
    <w:p w14:paraId="2E7425C3"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lastRenderedPageBreak/>
        <w:t>Bu arada 19 Ekim 1939’da Ankara’da Türkiye, İngiltere ve Fransa arasında bir ittifak antlaşması imzalanmıştır. Antlaşmanın kuşkusuz en önemli hükmü; “herhangi bir Avrupa devletinin saldırısı ile başlayan ve İngiltere ile Fransa’nın katılacakları bir savaş Akdeniz’e yayılırsa Türkiye, İngiltere ile Fransa’ya yardım edecektir” şeklindeki maddesidir. Savaş boyunca Cumhurbaşkanı İnönü’nün temel amacı, savaşa katılmadan Türkiye’nin toprak bütünlüğünü korumak ve büyük devletler arasında bir denge unsuru olma politikası yürüterek olası saldırılardan korunmaktı.</w:t>
      </w:r>
      <w:r w:rsidRPr="00B80BDC">
        <w:rPr>
          <w:rFonts w:ascii="Times New Roman" w:eastAsia="Calibri" w:hAnsi="Times New Roman" w:cs="Times New Roman"/>
          <w:vertAlign w:val="superscript"/>
          <w:lang w:val="x-none" w:eastAsia="x-none"/>
        </w:rPr>
        <w:footnoteReference w:id="7"/>
      </w:r>
    </w:p>
    <w:p w14:paraId="38D97A17"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İtalya savaşa girinceye kadar Türkiye’nin mevcut durumunda bir değişiklik olmamıştı. Ancak, İtalya’nın Haziran 1940’ta savaşa girmesi Türkiye’nin İngiltere ve Fransa ile imzalamış olduğu ittifak antlaşmasının gereklerini gündeme getirmiştir. Balkanlar üzerinde Alman tehlikesi ufukta belirmeye başlamışken, 28 Ekimde İtalya’nın Yunanistan’a saldırması ve Ocak 1941’den itibaren Balkanlar’a inmeye başlaması, Türkiye’nin yanı sıra Sovyetler Birliği ve İngiltere’yi de telaşlandırmıştır. Özetle, Türkiye’nin kendini tehlikede hissetmesi için bütün koşullar mevcuttu.</w:t>
      </w:r>
      <w:r w:rsidRPr="00B80BDC">
        <w:rPr>
          <w:rFonts w:ascii="Times New Roman" w:eastAsia="Calibri" w:hAnsi="Times New Roman" w:cs="Times New Roman"/>
          <w:vertAlign w:val="superscript"/>
          <w:lang w:val="x-none" w:eastAsia="x-none"/>
        </w:rPr>
        <w:footnoteReference w:id="8"/>
      </w:r>
    </w:p>
    <w:p w14:paraId="0A2D8C71"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Türkiye, bu sıralarda Alman baskısıyla da karşı karşıya kalmıştır. Askerlerini Türkiye üzerinden Irak’a geçirmek isteyen Almanya, Türkiye’ye Ege adalarından toprak vaadi ve saldırmazlık garantisinde bulunmuşsa da Türkiye bu teklifi reddetmiştir. Ancak kısa bir süre sonra, 18 Haziran 1941’de Türk-Alman Saldırmazlık Antlaşması imzalanmıştır. Antlaşma ile her iki devlet birbirinin arazisine ve toprak bütünlüğüne karşılıklı saygı duymayı ve doğrudan ya da dolaylı olarak birbirine karşı her türlü harekâttan kaçınmayı taahhüt etmişlerdir. Antlaşmanın önemli bir özelliği de  her iki tarafın var olan yükümlüklerini saklı tutmasıydı.</w:t>
      </w:r>
      <w:r w:rsidRPr="00B80BDC">
        <w:rPr>
          <w:rFonts w:ascii="Times New Roman" w:eastAsia="Calibri" w:hAnsi="Times New Roman" w:cs="Times New Roman"/>
          <w:vertAlign w:val="superscript"/>
          <w:lang w:val="x-none" w:eastAsia="x-none"/>
        </w:rPr>
        <w:footnoteReference w:id="9"/>
      </w:r>
    </w:p>
    <w:p w14:paraId="1071747D"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Antlaşmanın imzalanmasından sonra 22 Haziran 1941’de Almanya, Sovyetler Birliği’ne saldırmış, böylece savaşın seyrini ve boyutunu değiştirecek bir hamle yapmıştır.</w:t>
      </w:r>
      <w:r w:rsidRPr="00B80BDC">
        <w:rPr>
          <w:rFonts w:ascii="Times New Roman" w:eastAsia="Calibri" w:hAnsi="Times New Roman" w:cs="Times New Roman"/>
          <w:vertAlign w:val="superscript"/>
          <w:lang w:val="x-none" w:eastAsia="x-none"/>
        </w:rPr>
        <w:footnoteReference w:id="10"/>
      </w:r>
      <w:r w:rsidRPr="00B80BDC">
        <w:rPr>
          <w:rFonts w:ascii="Times New Roman" w:eastAsia="Calibri" w:hAnsi="Times New Roman" w:cs="Times New Roman"/>
          <w:lang w:val="x-none" w:eastAsia="x-none"/>
        </w:rPr>
        <w:t xml:space="preserve"> Ayrıca 7 Aralık 1941’de Pasifik Okyanusu’ndaki Pearl Harbour Donanma Üssü’ne saldırması üzerine ABD’nin 11 Aralıkta Japonya ve Almanya’ya savaş ilan etmiştir.</w:t>
      </w:r>
      <w:r w:rsidRPr="00B80BDC">
        <w:rPr>
          <w:rFonts w:ascii="Times New Roman" w:eastAsia="Calibri" w:hAnsi="Times New Roman" w:cs="Times New Roman"/>
          <w:vertAlign w:val="superscript"/>
          <w:lang w:val="x-none" w:eastAsia="x-none"/>
        </w:rPr>
        <w:footnoteReference w:id="11"/>
      </w:r>
      <w:r w:rsidRPr="00B80BDC">
        <w:rPr>
          <w:rFonts w:ascii="Times New Roman" w:eastAsia="Calibri" w:hAnsi="Times New Roman" w:cs="Times New Roman"/>
          <w:lang w:val="x-none" w:eastAsia="x-none"/>
        </w:rPr>
        <w:t xml:space="preserve"> </w:t>
      </w:r>
    </w:p>
    <w:p w14:paraId="6B8EA40B"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 xml:space="preserve">1942 sonlarından itibaren Türkiye üzerinde bu sefer başta İngiltere olmak üzere Müttefik Devletlerin baskıları giderek artmıştır İngiltere Başbakanı Winston Churchill 30-31 Ocak 1943’te Adana’da İnönü ile görüşmüştür. Adana Görüşmeleri olarak bilinen bu görüşme olumlu geçmiş ve İngilizler, yıl bitmeden, hatta daha da erken bir zamanda Türkiye’yi kendi yanlarında savaşa sokacaklarından emin bir şekilde görüşmelerden ayrılmışlardır. </w:t>
      </w:r>
    </w:p>
    <w:p w14:paraId="5A382285"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Adana Görüşmelerinin ardından İngiltere’nin Türkiye’yi savaşa sokma çabaları devam etmiştir. İngiliz Dışişleri Bakanı Antony Eden ile Türk Dışişleri Bakanı Numan Menemencioğlu 5-16 Kasım 1943 tarihleri arasında I. Kahire Konferansı’nda bir araya gelmişlerdir.</w:t>
      </w:r>
      <w:r w:rsidRPr="00B80BDC">
        <w:rPr>
          <w:rFonts w:ascii="Times New Roman" w:eastAsia="Calibri" w:hAnsi="Times New Roman" w:cs="Times New Roman"/>
          <w:vertAlign w:val="superscript"/>
          <w:lang w:val="x-none" w:eastAsia="x-none"/>
        </w:rPr>
        <w:footnoteReference w:id="12"/>
      </w:r>
      <w:r w:rsidRPr="00B80BDC">
        <w:rPr>
          <w:rFonts w:ascii="Times New Roman" w:eastAsia="Calibri" w:hAnsi="Times New Roman" w:cs="Times New Roman"/>
          <w:lang w:val="x-none" w:eastAsia="x-none"/>
        </w:rPr>
        <w:t xml:space="preserve"> Bu görüşmenin ardından 4-6 Aralık 1943’te toplanan II. Kahire Konferansı İnönü’nün de katılımıyla gerçekleşmiştir. İngiliz Başbakanı Churchill ve ABD Başkanı Roosevelt ile İnönü’yü bir araya getiren bu konferansta Türkiye üzerinde yapılan Müttefik baskısı doruk noktasına çıkmıştır. Ancak Müttefikler bu konferansta da Türkiye’nin savaşa girmesini sağlayamamışlardır.</w:t>
      </w:r>
      <w:r w:rsidRPr="00B80BDC">
        <w:rPr>
          <w:rFonts w:ascii="Times New Roman" w:eastAsia="Calibri" w:hAnsi="Times New Roman" w:cs="Times New Roman"/>
          <w:vertAlign w:val="superscript"/>
          <w:lang w:val="x-none" w:eastAsia="x-none"/>
        </w:rPr>
        <w:footnoteReference w:id="13"/>
      </w:r>
    </w:p>
    <w:p w14:paraId="36913124"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Müttefikler, 6 Haziran 1944’te Fransa’nın kuzeybatısında yer alan Normandiya kıyılarına tarihin gördüğü en büyük çıkarma harekâtını düzenlemişlerdir (Overlord Harekâtı). Hava ve kara harekâtlarının yoğun bir şekilde gerçekleştirildiği bu çıkarma Almanya’nın çökmesinde hayati bir rol oynamış, Batı Cephesi açılmış ve Müttefikler batıdan, Sovyetler de doğudan Berlin’e ilerlemeye başlamıştır.</w:t>
      </w:r>
      <w:r w:rsidRPr="00B80BDC">
        <w:rPr>
          <w:rFonts w:ascii="Times New Roman" w:eastAsia="Calibri" w:hAnsi="Times New Roman" w:cs="Times New Roman"/>
          <w:vertAlign w:val="superscript"/>
          <w:lang w:val="x-none" w:eastAsia="x-none"/>
        </w:rPr>
        <w:footnoteReference w:id="14"/>
      </w:r>
    </w:p>
    <w:p w14:paraId="7B171056"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 xml:space="preserve">1945’in başlarında savaşın kaderi büyük ölçüde belli olmuş, Roosevelt, Churchill ve Stalin 4-11 Şubat 1945 tarihleri arasında Yalta Konferansı’nda bir araya gelmişlerdir. Türkiye ve Balkan </w:t>
      </w:r>
      <w:r w:rsidRPr="00B80BDC">
        <w:rPr>
          <w:rFonts w:ascii="Times New Roman" w:eastAsia="Calibri" w:hAnsi="Times New Roman" w:cs="Times New Roman"/>
          <w:lang w:val="x-none" w:eastAsia="x-none"/>
        </w:rPr>
        <w:lastRenderedPageBreak/>
        <w:t>ülkelerinin geleceği açısından oldukça önemli bir yere sahip olan bu konferansta alınan karar; 1 Mart 1945 tarihine kadar Almanya ve Japonya’ya savaş ilan eden devletlerin hem San Francisco’da yapılacak toplantıya katılma hakkını elde edecekleri hem de Birleşmiş Milletlerin kurucu üyeleri arasında yer alabilecekleri şeklinde olmuştur. Savaşın sonuna gelindiğinde Türkiye, Birleşmiş Milletler Beyannamesi’ni imzalayarak 23 Şubat 1945’te Almanya ile Japonya’ya savaş ilan etmiş ve biçimsel olarak savaşa katılmıştır. Böylece Türkiye hem Müttefiklerin yanında yer aldığını göstermiş hem de San Francisco’da toplanacak olan konferansa katılmaya hak kazanmıştır.</w:t>
      </w:r>
      <w:r w:rsidRPr="00B80BDC">
        <w:rPr>
          <w:rFonts w:ascii="Times New Roman" w:eastAsia="Calibri" w:hAnsi="Times New Roman" w:cs="Times New Roman"/>
          <w:vertAlign w:val="superscript"/>
          <w:lang w:val="x-none" w:eastAsia="x-none"/>
        </w:rPr>
        <w:footnoteReference w:id="15"/>
      </w:r>
      <w:r w:rsidRPr="00B80BDC">
        <w:rPr>
          <w:rFonts w:ascii="Times New Roman" w:eastAsia="Calibri" w:hAnsi="Times New Roman" w:cs="Times New Roman"/>
          <w:lang w:val="x-none" w:eastAsia="x-none"/>
        </w:rPr>
        <w:t xml:space="preserve"> 25 Nisan-26 Haziran tarihleri arasında gerçekleşen San Francisco görüşmelerine Türkiye de katılmış ve bu görüşmelerde Birleşmiş Milletler Anayasası’nı belirleyen metin hazırlanmıştır.</w:t>
      </w:r>
      <w:r w:rsidRPr="00B80BDC">
        <w:rPr>
          <w:rFonts w:ascii="Times New Roman" w:eastAsia="Calibri" w:hAnsi="Times New Roman" w:cs="Times New Roman"/>
          <w:vertAlign w:val="superscript"/>
          <w:lang w:val="x-none" w:eastAsia="x-none"/>
        </w:rPr>
        <w:footnoteReference w:id="16"/>
      </w:r>
    </w:p>
    <w:p w14:paraId="3EDAA06A" w14:textId="77777777" w:rsidR="00F73B77" w:rsidRPr="00B80BDC" w:rsidRDefault="00F73B77" w:rsidP="00F73B77">
      <w:pPr>
        <w:spacing w:after="120" w:line="240" w:lineRule="auto"/>
        <w:ind w:firstLine="709"/>
        <w:jc w:val="both"/>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 xml:space="preserve">İkinci Dünya Savaşı </w:t>
      </w:r>
      <w:r>
        <w:rPr>
          <w:rFonts w:ascii="Times New Roman" w:eastAsia="Calibri" w:hAnsi="Times New Roman" w:cs="Times New Roman"/>
          <w:b/>
          <w:lang w:eastAsia="x-none"/>
        </w:rPr>
        <w:t>Yıllarında</w:t>
      </w:r>
      <w:r w:rsidRPr="00B80BDC">
        <w:rPr>
          <w:rFonts w:ascii="Times New Roman" w:eastAsia="Calibri" w:hAnsi="Times New Roman" w:cs="Times New Roman"/>
          <w:b/>
          <w:lang w:val="x-none" w:eastAsia="x-none"/>
        </w:rPr>
        <w:t xml:space="preserve"> İç Politik</w:t>
      </w:r>
      <w:r>
        <w:rPr>
          <w:rFonts w:ascii="Times New Roman" w:eastAsia="Calibri" w:hAnsi="Times New Roman" w:cs="Times New Roman"/>
          <w:b/>
          <w:lang w:eastAsia="x-none"/>
        </w:rPr>
        <w:t>a</w:t>
      </w:r>
    </w:p>
    <w:p w14:paraId="6448CF02"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İkinci Dünya Savaşı yılları Türkiye açısından iç ve dış politika ile ekonomide önemli gerilimlerle geçmesine rağmen, modernleşme çabaları da devam etmiştir. Eğitim, kültür ve sanat alanlarında çeşitli kurumların açıldığı bu dönemde tiyatrodan müziğe, tarih araştırmalarından edebiyata birçok alanda önemli eserler de vücuda getirilmiştir. İnönü’nün üzerinde durduğu projelerin başında yer alan dönemin Milli Eğitim Bakanı Hasan Ali Yücel tarafından desteklenen Köy Enstitüleri kuşkusuz dönemin en önemli eğitim kurumudur. 17 Nisan 1940’ta TBMM’de onaylanan 3803 Sayılı Köy Enstitüleri Yasası</w:t>
      </w:r>
      <w:r w:rsidRPr="00B80BDC">
        <w:rPr>
          <w:rFonts w:ascii="Times New Roman" w:eastAsia="Calibri" w:hAnsi="Times New Roman" w:cs="Times New Roman"/>
          <w:vertAlign w:val="superscript"/>
          <w:lang w:val="x-none" w:eastAsia="x-none"/>
        </w:rPr>
        <w:footnoteReference w:id="17"/>
      </w:r>
      <w:r w:rsidRPr="00B80BDC">
        <w:rPr>
          <w:rFonts w:ascii="Times New Roman" w:eastAsia="Calibri" w:hAnsi="Times New Roman" w:cs="Times New Roman"/>
          <w:lang w:val="x-none" w:eastAsia="x-none"/>
        </w:rPr>
        <w:t xml:space="preserve"> ile kırsal kesime öğretmen yetiştirmek amacıyla açılmaya başlanan Köy Enstitüleri, Türkiye’nin dünya eğitim tarihine kazandırdığı en özgün modellerden biri olarak döneme damgasını vurmuştur.</w:t>
      </w:r>
      <w:r w:rsidRPr="00B80BDC">
        <w:rPr>
          <w:rFonts w:ascii="Times New Roman" w:eastAsia="Calibri" w:hAnsi="Times New Roman" w:cs="Times New Roman"/>
          <w:vertAlign w:val="superscript"/>
          <w:lang w:val="x-none" w:eastAsia="x-none"/>
        </w:rPr>
        <w:footnoteReference w:id="18"/>
      </w:r>
      <w:r w:rsidRPr="00B80BDC">
        <w:rPr>
          <w:rFonts w:ascii="Times New Roman" w:eastAsia="Calibri" w:hAnsi="Times New Roman" w:cs="Times New Roman"/>
          <w:lang w:val="x-none" w:eastAsia="x-none"/>
        </w:rPr>
        <w:t xml:space="preserve"> Hasan Ali Yücel’den sonra Milli Eğitim Bakanı olan Reşat Şemsettin Sirer döneminde Köy Enstitüleri Köy Öğretmen Okullarına dönüştürülmüş ve Demokrat Parti döneminde 27 Ocak 1954’te kapatılmışlardır.</w:t>
      </w:r>
      <w:r w:rsidRPr="00B80BDC">
        <w:rPr>
          <w:rFonts w:ascii="Times New Roman" w:eastAsia="Calibri" w:hAnsi="Times New Roman" w:cs="Times New Roman"/>
          <w:vertAlign w:val="superscript"/>
          <w:lang w:val="x-none" w:eastAsia="x-none"/>
        </w:rPr>
        <w:footnoteReference w:id="19"/>
      </w:r>
      <w:r w:rsidRPr="00B80BDC">
        <w:rPr>
          <w:rFonts w:ascii="Times New Roman" w:eastAsia="Calibri" w:hAnsi="Times New Roman" w:cs="Times New Roman"/>
          <w:lang w:val="x-none" w:eastAsia="x-none"/>
        </w:rPr>
        <w:t xml:space="preserve"> </w:t>
      </w:r>
    </w:p>
    <w:p w14:paraId="583A6B06"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İkinci Dünya Savaşı yıllarının basın hayatı hayli renkli ve çeşitlilik içermiştir. Her ne kadar iktidarın denetimi altında olsa da savaşta yer alan her siyasi görüş Türk basınında temsilci bulmuştur. Bu dönemin başlıca gazeteleri ise Cumhuriyet, Akşam, Tan, Vatan, Tasvir, Son Posta, Tanin, Sabah, Vakit ve Ulus gazeteleridir.</w:t>
      </w:r>
      <w:r w:rsidRPr="00B80BDC">
        <w:rPr>
          <w:rFonts w:ascii="Times New Roman" w:eastAsia="Calibri" w:hAnsi="Times New Roman" w:cs="Times New Roman"/>
          <w:vertAlign w:val="superscript"/>
          <w:lang w:val="x-none" w:eastAsia="x-none"/>
        </w:rPr>
        <w:footnoteReference w:id="20"/>
      </w:r>
      <w:r w:rsidRPr="00B80BDC">
        <w:rPr>
          <w:rFonts w:ascii="Times New Roman" w:eastAsia="Calibri" w:hAnsi="Times New Roman" w:cs="Times New Roman"/>
          <w:lang w:val="x-none" w:eastAsia="x-none"/>
        </w:rPr>
        <w:t xml:space="preserve"> </w:t>
      </w:r>
    </w:p>
    <w:p w14:paraId="5428A337"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Türkiye, İkinci Dünya Savaşı’na girmemekle birlikte savaş ekonomisinin koşullarını tüm ağırlığıyla yaşamıştır.</w:t>
      </w:r>
      <w:r w:rsidRPr="00B80BDC">
        <w:rPr>
          <w:rFonts w:ascii="Times New Roman" w:eastAsia="Calibri" w:hAnsi="Times New Roman" w:cs="Times New Roman"/>
          <w:vertAlign w:val="superscript"/>
          <w:lang w:val="x-none" w:eastAsia="x-none"/>
        </w:rPr>
        <w:footnoteReference w:id="21"/>
      </w:r>
      <w:r w:rsidRPr="00B80BDC">
        <w:rPr>
          <w:rFonts w:ascii="Times New Roman" w:eastAsia="Calibri" w:hAnsi="Times New Roman" w:cs="Times New Roman"/>
          <w:lang w:val="x-none" w:eastAsia="x-none"/>
        </w:rPr>
        <w:t xml:space="preserve"> 1940–1950 döneminin önemli iktisadi kanunlarından biri, şüphesiz, Milli Korunma Kanunu’dur.</w:t>
      </w:r>
      <w:r w:rsidRPr="00B80BDC">
        <w:rPr>
          <w:rFonts w:ascii="Times New Roman" w:eastAsia="Calibri" w:hAnsi="Times New Roman" w:cs="Times New Roman"/>
          <w:vertAlign w:val="superscript"/>
          <w:lang w:val="x-none" w:eastAsia="x-none"/>
        </w:rPr>
        <w:footnoteReference w:id="22"/>
      </w:r>
      <w:r w:rsidRPr="00B80BDC">
        <w:rPr>
          <w:rFonts w:ascii="Times New Roman" w:eastAsia="Calibri" w:hAnsi="Times New Roman" w:cs="Times New Roman"/>
          <w:lang w:val="x-none" w:eastAsia="x-none"/>
        </w:rPr>
        <w:t xml:space="preserve"> Bu kanun sayesinde, silahlı kuvvetler düşük bir maliyetle beslenmiş ve giydirilmiş, kentli nüfus da fazla zorlanmadan temel ihtiyaçlarını sağlayabilmiştir.</w:t>
      </w:r>
      <w:r w:rsidRPr="00B80BDC">
        <w:rPr>
          <w:rFonts w:ascii="Times New Roman" w:eastAsia="Calibri" w:hAnsi="Times New Roman" w:cs="Times New Roman"/>
          <w:vertAlign w:val="superscript"/>
          <w:lang w:val="x-none" w:eastAsia="x-none"/>
        </w:rPr>
        <w:footnoteReference w:id="23"/>
      </w:r>
      <w:r w:rsidRPr="00B80BDC">
        <w:rPr>
          <w:rFonts w:ascii="Times New Roman" w:eastAsia="Calibri" w:hAnsi="Times New Roman" w:cs="Times New Roman"/>
          <w:lang w:val="x-none" w:eastAsia="x-none"/>
        </w:rPr>
        <w:t xml:space="preserve"> </w:t>
      </w:r>
    </w:p>
    <w:p w14:paraId="360A4D3F"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Bu dönemde çıkarılan bir diğer önemli kanun da 1942 tarihli Varlık Vergisi Kanunu’dur.</w:t>
      </w:r>
      <w:r w:rsidRPr="00B80BDC">
        <w:rPr>
          <w:rFonts w:ascii="Times New Roman" w:eastAsia="Calibri" w:hAnsi="Times New Roman" w:cs="Times New Roman"/>
          <w:vertAlign w:val="superscript"/>
          <w:lang w:val="x-none" w:eastAsia="x-none"/>
        </w:rPr>
        <w:footnoteReference w:id="24"/>
      </w:r>
      <w:r w:rsidRPr="00B80BDC">
        <w:rPr>
          <w:rFonts w:ascii="Times New Roman" w:eastAsia="Calibri" w:hAnsi="Times New Roman" w:cs="Times New Roman"/>
          <w:lang w:val="x-none" w:eastAsia="x-none"/>
        </w:rPr>
        <w:t xml:space="preserve"> Kanun ile 15 gün içinde 500 milyon TL toplanması öngörülmüş (ancak toplanabilen miktar 315 Milyon TL civarındadır) ve vergisini belirlenen süre içinde ödemeyenler (bir ay içinde) zorunlu çalışma veya mallarının haczedilmesi yaptırımı ile karşı karşıya kalmıştır.</w:t>
      </w:r>
      <w:r w:rsidRPr="00B80BDC">
        <w:rPr>
          <w:rFonts w:ascii="Times New Roman" w:eastAsia="Calibri" w:hAnsi="Times New Roman" w:cs="Times New Roman"/>
          <w:vertAlign w:val="superscript"/>
          <w:lang w:val="x-none" w:eastAsia="x-none"/>
        </w:rPr>
        <w:footnoteReference w:id="25"/>
      </w:r>
      <w:r w:rsidRPr="00B80BDC">
        <w:rPr>
          <w:rFonts w:ascii="Times New Roman" w:eastAsia="Calibri" w:hAnsi="Times New Roman" w:cs="Times New Roman"/>
          <w:lang w:val="x-none" w:eastAsia="x-none"/>
        </w:rPr>
        <w:t xml:space="preserve"> Bu durum özellikle İstanbul’da azınlıkların servetlerinin bir kısmının Müslüman – Türk iş adamlarının eline geçmesine olanak vermiş, böylece o zamanki deyimle Hacı Ağalar ortaya çıkmıştır.</w:t>
      </w:r>
      <w:r w:rsidRPr="00B80BDC">
        <w:rPr>
          <w:rFonts w:ascii="Times New Roman" w:eastAsia="Calibri" w:hAnsi="Times New Roman" w:cs="Times New Roman"/>
          <w:vertAlign w:val="superscript"/>
          <w:lang w:val="x-none" w:eastAsia="x-none"/>
        </w:rPr>
        <w:footnoteReference w:id="26"/>
      </w:r>
      <w:r w:rsidRPr="00B80BDC">
        <w:rPr>
          <w:rFonts w:ascii="Times New Roman" w:eastAsia="Calibri" w:hAnsi="Times New Roman" w:cs="Times New Roman"/>
          <w:lang w:val="x-none" w:eastAsia="x-none"/>
        </w:rPr>
        <w:t xml:space="preserve"> 1943 yılında ise Hükümet içten ve dıştan gelen türlü baskılar nedeniyle bu uygulamayı durdurmuş ve 15 Nisan 1944 tarihinde bu vergi yürürlükten kaldırılmıştır.</w:t>
      </w:r>
    </w:p>
    <w:p w14:paraId="444242AD"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26 Nisan 1944’te yürürlüğe giren Toprak Mahsulleri Vergisi, büyük ve küçük çiftçi arasında fark gözetmeyen bir kanundur.</w:t>
      </w:r>
      <w:r w:rsidRPr="00B80BDC">
        <w:rPr>
          <w:rFonts w:ascii="Times New Roman" w:eastAsia="Calibri" w:hAnsi="Times New Roman" w:cs="Times New Roman"/>
          <w:vertAlign w:val="superscript"/>
          <w:lang w:val="x-none" w:eastAsia="x-none"/>
        </w:rPr>
        <w:footnoteReference w:id="27"/>
      </w:r>
      <w:r w:rsidRPr="00B80BDC">
        <w:rPr>
          <w:rFonts w:ascii="Times New Roman" w:eastAsia="Calibri" w:hAnsi="Times New Roman" w:cs="Times New Roman"/>
          <w:lang w:val="x-none" w:eastAsia="x-none"/>
        </w:rPr>
        <w:t xml:space="preserve"> Yaklaşık üç yıl uygulanan bu vergi de farklı bir kesimin, yani büyük </w:t>
      </w:r>
      <w:r w:rsidRPr="00B80BDC">
        <w:rPr>
          <w:rFonts w:ascii="Times New Roman" w:eastAsia="Calibri" w:hAnsi="Times New Roman" w:cs="Times New Roman"/>
          <w:lang w:val="x-none" w:eastAsia="x-none"/>
        </w:rPr>
        <w:lastRenderedPageBreak/>
        <w:t xml:space="preserve">çiftlik sahiplerinin CHP iktidarına sırt çevirmesine hatta savaş sonrası dönemde cephe almasına sebep olmuştur. </w:t>
      </w:r>
    </w:p>
    <w:p w14:paraId="3D04CA0E"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 xml:space="preserve">İkinci Dünya Savaşı Sonrasında İç Politika Türk siyasetinde önemli dönüm noktalarından biri, çok partili siyasal yaşama geçiş sürecidir. Cumhurbaşkanı İnönü’yü çok partili siyasal yaşama geçişe yönelik adımlar atmaya sevk eden iç etkenlerin başında, İkinci Dünya Savaşı sırasında uygulanan ekonomik politikalar nedeniyle ortaya çıkan toplumsal tepkiler gelmektedir. </w:t>
      </w:r>
    </w:p>
    <w:p w14:paraId="7BC84171" w14:textId="77777777" w:rsidR="00F73B77" w:rsidRPr="003F4729" w:rsidRDefault="00F73B77" w:rsidP="00F73B77">
      <w:pPr>
        <w:spacing w:after="120" w:line="240" w:lineRule="auto"/>
        <w:ind w:firstLine="709"/>
        <w:jc w:val="both"/>
        <w:rPr>
          <w:rFonts w:ascii="Times New Roman" w:eastAsia="Calibri" w:hAnsi="Times New Roman" w:cs="Times New Roman"/>
          <w:b/>
          <w:lang w:val="x-none" w:eastAsia="x-none"/>
        </w:rPr>
      </w:pPr>
      <w:r w:rsidRPr="003F4729">
        <w:rPr>
          <w:rFonts w:ascii="Times New Roman" w:eastAsia="Times New Roman" w:hAnsi="Times New Roman" w:cs="Times New Roman"/>
          <w:b/>
          <w:lang w:eastAsia="tr-TR"/>
        </w:rPr>
        <w:t>Demokrat Parti’nin Kuruluşu</w:t>
      </w:r>
    </w:p>
    <w:p w14:paraId="4C837B65"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 xml:space="preserve">İnönü’nün, 19 Mayıs 1945’te savaşın sona ermesiyle ilgili olan nutkunda, demokrasiye geçileceğini açıklaması, çok partili siyasi hayata geçiş açısından en ciddi başlangıç sayılabilir. Cumhurbaşkanı İnönü’nün siyasi alandaki değişimi teşvik eden duruşu, hemen karşılık bulmuştur. Hükümet tarafından meclise sevk edilen ve toprağı olmayan ya da yetmeyen çiftçi ailelerinin toprak sahibi edilmesini öngören Çiftçiyi Topraklandırma Yasa tasarısı, bazı milletvekilleri tarafından ciddi bir şekilde eleştirilmiştir. </w:t>
      </w:r>
    </w:p>
    <w:p w14:paraId="6B21A888"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Bu gelişmeleri tamamlayan en önemli olay ise şüphesiz 7 Haziran 1945’te CHP Meclis Grubu Başkanlığı’na sunulan Dörtlü Takrirdir.</w:t>
      </w:r>
      <w:r w:rsidRPr="00B80BDC">
        <w:rPr>
          <w:rFonts w:ascii="Times New Roman" w:eastAsia="Calibri" w:hAnsi="Times New Roman" w:cs="Times New Roman"/>
          <w:vertAlign w:val="superscript"/>
          <w:lang w:val="x-none" w:eastAsia="x-none"/>
        </w:rPr>
        <w:footnoteReference w:id="28"/>
      </w:r>
      <w:r w:rsidRPr="00B80BDC">
        <w:rPr>
          <w:rFonts w:ascii="Times New Roman" w:eastAsia="Calibri" w:hAnsi="Times New Roman" w:cs="Times New Roman"/>
          <w:lang w:val="x-none" w:eastAsia="x-none"/>
        </w:rPr>
        <w:t xml:space="preserve"> Celal Bayar, Adnan Menderes, Fuat Köprülü ve Refik Koraltan gibi dönemin tanınmış muhalif siyasetçilerinin imzalarını taşıyan bu takrirle çok partili siyasi hayata geçiş için önemli bir adım daha atılmıştır. Dörtlü Takririn Meclis Grubu tarafından reddedilmesi ve parlamentoda Çiftçiyi Topraklandırma Kanunu’nun kabul edilmesi, CHP’deki parti içi muhalefeti kopma noktasına getirmiştir. Ancak ilk kurulan parti, 18 Temmuz 1945’te Milli Kalkınma Partisi olmuştur.</w:t>
      </w:r>
      <w:r w:rsidRPr="00B80BDC">
        <w:rPr>
          <w:rFonts w:ascii="Times New Roman" w:eastAsia="Calibri" w:hAnsi="Times New Roman" w:cs="Times New Roman"/>
          <w:vertAlign w:val="superscript"/>
          <w:lang w:val="x-none" w:eastAsia="x-none"/>
        </w:rPr>
        <w:footnoteReference w:id="29"/>
      </w:r>
    </w:p>
    <w:p w14:paraId="054B5741"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7 Ocak 1946’da Demokrat Parti, Dörtlü Takrir’in sahipleri Celal Bayar, Adnan Menderes, Fuat Köprülü ve Refik Koraltan tarafından kurulmuş, Parti’nin başkanlığını da Celal Bayar üstlenmiştir.</w:t>
      </w:r>
      <w:r w:rsidRPr="00B80BDC">
        <w:rPr>
          <w:rFonts w:ascii="Times New Roman" w:eastAsia="Calibri" w:hAnsi="Times New Roman" w:cs="Times New Roman"/>
          <w:vertAlign w:val="superscript"/>
          <w:lang w:val="x-none" w:eastAsia="x-none"/>
        </w:rPr>
        <w:footnoteReference w:id="30"/>
      </w:r>
      <w:r w:rsidRPr="00B80BDC">
        <w:rPr>
          <w:rFonts w:ascii="Times New Roman" w:eastAsia="Calibri" w:hAnsi="Times New Roman" w:cs="Times New Roman"/>
          <w:lang w:val="x-none" w:eastAsia="x-none"/>
        </w:rPr>
        <w:t xml:space="preserve"> DP’nin kurulmasından kısa bir süre sonra da 21 Temmuz 1946’da ilk tek dereceli ve çok partili seçimler yapılmıştır. Çoğunluk sistemine dayanan ve açık oy–gizli tasnif esasına göre yapılan bu seçimlerde CHP 395, DP 64, bağımsızlar ise 6 milletvekili çıkarmıştır.</w:t>
      </w:r>
      <w:r w:rsidRPr="00B80BDC">
        <w:rPr>
          <w:rFonts w:ascii="Times New Roman" w:eastAsia="Calibri" w:hAnsi="Times New Roman" w:cs="Times New Roman"/>
          <w:vertAlign w:val="superscript"/>
          <w:lang w:val="x-none" w:eastAsia="x-none"/>
        </w:rPr>
        <w:footnoteReference w:id="31"/>
      </w:r>
    </w:p>
    <w:p w14:paraId="365F172E"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 xml:space="preserve">Yeni dönemde İnönü, Şükrü Saraçoğlu yerine Recep Peker’i başbakanlığa getirmiştir. Bu sıralarda Ocak 1947’de DP ilk büyük kongresini yaparak Hürriyet Misakı adında bir bildirge yayınlamıştır. </w:t>
      </w:r>
    </w:p>
    <w:p w14:paraId="79090CE2" w14:textId="77777777" w:rsidR="00F73B77" w:rsidRPr="00B80BDC" w:rsidRDefault="00F73B77" w:rsidP="00F73B77">
      <w:pPr>
        <w:spacing w:after="12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Bu arada iktidar ve muhalefet arasında yaşanan sert siyasal tartışmalar üzerine oluşan kriz ortamında Başbakan Recep Peker’in istifası üzerine İnönü, daha ılımlı bir siyasetçi olan Hasan Saka’ya hükümeti kurma görevini vermiştir (9 Eylül 1947). Bu hükümet de uzun soluklu olamamış ve II. Hasan Saka hükümeti kurulmuştur.  Bu hükümetin en önemli icraatı seçim kanunun demokratikleştirilmesi olmuştur. II. Hasan Saka Hükümeti de 14 Ocak 1949’da çekilmek zorunda kalmış ve yerine Şemsettin Günaltay Hükümeti kurulmuştur.</w:t>
      </w:r>
      <w:r w:rsidRPr="00B80BDC">
        <w:rPr>
          <w:rFonts w:ascii="Times New Roman" w:eastAsia="Calibri" w:hAnsi="Times New Roman" w:cs="Times New Roman"/>
          <w:vertAlign w:val="superscript"/>
          <w:lang w:val="x-none" w:eastAsia="x-none"/>
        </w:rPr>
        <w:footnoteReference w:id="32"/>
      </w:r>
      <w:r w:rsidRPr="00B80BDC">
        <w:rPr>
          <w:rFonts w:ascii="Times New Roman" w:eastAsia="Calibri" w:hAnsi="Times New Roman" w:cs="Times New Roman"/>
          <w:lang w:val="x-none" w:eastAsia="x-none"/>
        </w:rPr>
        <w:t xml:space="preserve"> </w:t>
      </w:r>
    </w:p>
    <w:p w14:paraId="6B403DC0" w14:textId="77777777" w:rsidR="00F73B77" w:rsidRDefault="00F73B77" w:rsidP="00F73B77">
      <w:pPr>
        <w:spacing w:before="120" w:after="240" w:line="240" w:lineRule="auto"/>
        <w:ind w:firstLine="709"/>
        <w:jc w:val="both"/>
        <w:rPr>
          <w:rFonts w:ascii="Times New Roman" w:eastAsia="Calibri" w:hAnsi="Times New Roman" w:cs="Times New Roman"/>
          <w:lang w:val="x-none" w:eastAsia="x-none"/>
        </w:rPr>
      </w:pPr>
      <w:r w:rsidRPr="00B80BDC">
        <w:rPr>
          <w:rFonts w:ascii="Times New Roman" w:eastAsia="Calibri" w:hAnsi="Times New Roman" w:cs="Times New Roman"/>
          <w:lang w:val="x-none" w:eastAsia="x-none"/>
        </w:rPr>
        <w:t xml:space="preserve">Yeni seçim kanunu sonrasında 14 Mayıs 1950 tarihinde yapılan seçimlerinde, beklenmedik şekilde DP oy çoğunluğunu kazanmış ve 22 Mayıs 1950’de CHP tarafından DP’ye görev tesliminin yapılmasıyla sonuçlanmıştır. </w:t>
      </w:r>
    </w:p>
    <w:p w14:paraId="1A8DCE23"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3A4C" w14:textId="77777777" w:rsidR="00110526" w:rsidRDefault="00110526" w:rsidP="00F73B77">
      <w:pPr>
        <w:spacing w:after="0" w:line="240" w:lineRule="auto"/>
      </w:pPr>
      <w:r>
        <w:separator/>
      </w:r>
    </w:p>
  </w:endnote>
  <w:endnote w:type="continuationSeparator" w:id="0">
    <w:p w14:paraId="6BA5029C" w14:textId="77777777" w:rsidR="00110526" w:rsidRDefault="00110526" w:rsidP="00F7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C943" w14:textId="77777777" w:rsidR="00110526" w:rsidRDefault="00110526" w:rsidP="00F73B77">
      <w:pPr>
        <w:spacing w:after="0" w:line="240" w:lineRule="auto"/>
      </w:pPr>
      <w:r>
        <w:separator/>
      </w:r>
    </w:p>
  </w:footnote>
  <w:footnote w:type="continuationSeparator" w:id="0">
    <w:p w14:paraId="09FBC516" w14:textId="77777777" w:rsidR="00110526" w:rsidRDefault="00110526" w:rsidP="00F73B77">
      <w:pPr>
        <w:spacing w:after="0" w:line="240" w:lineRule="auto"/>
      </w:pPr>
      <w:r>
        <w:continuationSeparator/>
      </w:r>
    </w:p>
  </w:footnote>
  <w:footnote w:id="1">
    <w:p w14:paraId="59932C71"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Cemil Koçak,“Siyasal Tarih”, </w:t>
      </w:r>
      <w:r w:rsidRPr="00FB7208">
        <w:rPr>
          <w:b/>
          <w:sz w:val="18"/>
          <w:szCs w:val="18"/>
        </w:rPr>
        <w:t>Yakınçağ Türkiye Tarihi (1908-1980)</w:t>
      </w:r>
      <w:r w:rsidRPr="00FB7208">
        <w:rPr>
          <w:sz w:val="18"/>
          <w:szCs w:val="18"/>
        </w:rPr>
        <w:t xml:space="preserve">, C. I, (Haz. Sina Akşin- Bülent Tanör-Korkut Boratav), Milliyet Kitaplığı, İstanbul, (t.y.), s. 160-161.  </w:t>
      </w:r>
    </w:p>
  </w:footnote>
  <w:footnote w:id="2">
    <w:p w14:paraId="7E1CC496"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Cemil Koçak, “Siyasal Tarih (1923–1950)”, </w:t>
      </w:r>
      <w:r w:rsidRPr="00FB7208">
        <w:rPr>
          <w:b/>
          <w:sz w:val="18"/>
          <w:szCs w:val="18"/>
        </w:rPr>
        <w:t>Türkiye Tarihi-Çağdaş Türkiye (19081980)</w:t>
      </w:r>
      <w:r w:rsidRPr="00FB7208">
        <w:rPr>
          <w:sz w:val="18"/>
          <w:szCs w:val="18"/>
        </w:rPr>
        <w:t>, C. IV, Cem Yay., İstanbul, 1989, s. 123-124.</w:t>
      </w:r>
    </w:p>
  </w:footnote>
  <w:footnote w:id="3">
    <w:p w14:paraId="30AEB105"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Koçak,“Siyasal Tarih”, </w:t>
      </w:r>
      <w:r w:rsidRPr="00FB7208">
        <w:rPr>
          <w:b/>
          <w:sz w:val="18"/>
          <w:szCs w:val="18"/>
        </w:rPr>
        <w:t>Yakınçağ Türkiye Tarihi</w:t>
      </w:r>
      <w:r w:rsidRPr="00FB7208">
        <w:rPr>
          <w:sz w:val="18"/>
          <w:szCs w:val="18"/>
        </w:rPr>
        <w:t>, s. 164-165.</w:t>
      </w:r>
    </w:p>
  </w:footnote>
  <w:footnote w:id="4">
    <w:p w14:paraId="38C9D07A"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Metin Heper, </w:t>
      </w:r>
      <w:r w:rsidRPr="00FB7208">
        <w:rPr>
          <w:b/>
          <w:sz w:val="18"/>
          <w:szCs w:val="18"/>
        </w:rPr>
        <w:t>İsmet İnönü</w:t>
      </w:r>
      <w:r w:rsidRPr="00FB7208">
        <w:rPr>
          <w:sz w:val="18"/>
          <w:szCs w:val="18"/>
        </w:rPr>
        <w:t>, İş Bankası Yay., İstanbul, 1998, s. 17.</w:t>
      </w:r>
    </w:p>
  </w:footnote>
  <w:footnote w:id="5">
    <w:p w14:paraId="314FB2FC"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Cemil Koçak, </w:t>
      </w:r>
      <w:r w:rsidRPr="00FB7208">
        <w:rPr>
          <w:b/>
          <w:sz w:val="18"/>
          <w:szCs w:val="18"/>
        </w:rPr>
        <w:t>Türkiye’de Milli Şef Dönemi (1938-1945)</w:t>
      </w:r>
      <w:r w:rsidRPr="00FB7208">
        <w:rPr>
          <w:sz w:val="18"/>
          <w:szCs w:val="18"/>
        </w:rPr>
        <w:t>, C. I, İletişim Yay., İstanbul, 2003, s. 173.</w:t>
      </w:r>
    </w:p>
  </w:footnote>
  <w:footnote w:id="6">
    <w:p w14:paraId="59923F24"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Mustafa Aydın, “1939–1945: Savaş Kaosunda Türkiye, Göreli Özerklik 2”, </w:t>
      </w:r>
      <w:r w:rsidRPr="00FB7208">
        <w:rPr>
          <w:b/>
          <w:sz w:val="18"/>
          <w:szCs w:val="18"/>
        </w:rPr>
        <w:t>Türk Dış Politikası (1919-1980) Kurtuluş Savaşından Bugüne Olgular, Belgeler, Yorumlar</w:t>
      </w:r>
      <w:r w:rsidRPr="00FB7208">
        <w:rPr>
          <w:sz w:val="18"/>
          <w:szCs w:val="18"/>
        </w:rPr>
        <w:t>, C. I, (Ed. Baskın Oran), İletişim Yay., İstanbul, 2005, s. 407.</w:t>
      </w:r>
    </w:p>
  </w:footnote>
  <w:footnote w:id="7">
    <w:p w14:paraId="5A8D40DC"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Selim Deringil, </w:t>
      </w:r>
      <w:r w:rsidRPr="00FB7208">
        <w:rPr>
          <w:b/>
          <w:sz w:val="18"/>
          <w:szCs w:val="18"/>
        </w:rPr>
        <w:t>Denge Oyunu, (İkinci Dünya Savaşı’nda Türkiye’nin Dış Politikası)</w:t>
      </w:r>
      <w:r w:rsidRPr="00FB7208">
        <w:rPr>
          <w:sz w:val="18"/>
          <w:szCs w:val="18"/>
        </w:rPr>
        <w:t>, Tarih Vakfı Yurt Yay., İstanbul, 2003, s. 42-49.</w:t>
      </w:r>
    </w:p>
  </w:footnote>
  <w:footnote w:id="8">
    <w:p w14:paraId="77FE30A1"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Deringil, </w:t>
      </w:r>
      <w:r w:rsidRPr="00FB7208">
        <w:rPr>
          <w:b/>
          <w:sz w:val="18"/>
          <w:szCs w:val="18"/>
        </w:rPr>
        <w:t>a.g.e</w:t>
      </w:r>
      <w:r w:rsidRPr="00FB7208">
        <w:rPr>
          <w:sz w:val="18"/>
          <w:szCs w:val="18"/>
        </w:rPr>
        <w:t xml:space="preserve">., s. 133. </w:t>
      </w:r>
    </w:p>
  </w:footnote>
  <w:footnote w:id="9">
    <w:p w14:paraId="6D9C823A"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Soysal, </w:t>
      </w:r>
      <w:r w:rsidRPr="00FB7208">
        <w:rPr>
          <w:b/>
          <w:sz w:val="18"/>
          <w:szCs w:val="18"/>
        </w:rPr>
        <w:t>a.g.e.</w:t>
      </w:r>
      <w:r w:rsidRPr="00FB7208">
        <w:rPr>
          <w:sz w:val="18"/>
          <w:szCs w:val="18"/>
        </w:rPr>
        <w:t>, s. 647.</w:t>
      </w:r>
    </w:p>
  </w:footnote>
  <w:footnote w:id="10">
    <w:p w14:paraId="283CE116"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Aydın, </w:t>
      </w:r>
      <w:r w:rsidRPr="00FB7208">
        <w:rPr>
          <w:b/>
          <w:sz w:val="18"/>
          <w:szCs w:val="18"/>
        </w:rPr>
        <w:t>a.g.m.</w:t>
      </w:r>
      <w:r w:rsidRPr="00FB7208">
        <w:rPr>
          <w:sz w:val="18"/>
          <w:szCs w:val="18"/>
        </w:rPr>
        <w:t>, s. 445.</w:t>
      </w:r>
    </w:p>
  </w:footnote>
  <w:footnote w:id="11">
    <w:p w14:paraId="4293BFC4"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Oral Sander, </w:t>
      </w:r>
      <w:r w:rsidRPr="00FB7208">
        <w:rPr>
          <w:b/>
          <w:sz w:val="18"/>
          <w:szCs w:val="18"/>
        </w:rPr>
        <w:t>Siyasi Tarih (1918–1994)</w:t>
      </w:r>
      <w:r w:rsidRPr="00FB7208">
        <w:rPr>
          <w:sz w:val="18"/>
          <w:szCs w:val="18"/>
        </w:rPr>
        <w:t>, İmge Kitabevi Yay., İstanbul, 2008, s. 165.</w:t>
      </w:r>
    </w:p>
  </w:footnote>
  <w:footnote w:id="12">
    <w:p w14:paraId="39309393"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Şükrü S. Gürel, “Türk Dış Politikası (1919-1945)”, </w:t>
      </w:r>
      <w:r w:rsidRPr="00FB7208">
        <w:rPr>
          <w:b/>
          <w:sz w:val="18"/>
          <w:szCs w:val="18"/>
        </w:rPr>
        <w:t>Cumhuriyet Dönemi Türkiye Ansiklopedisi</w:t>
      </w:r>
      <w:r w:rsidRPr="00FB7208">
        <w:rPr>
          <w:sz w:val="18"/>
          <w:szCs w:val="18"/>
        </w:rPr>
        <w:t>, İletişim Yay., İstanbul, s. 534.</w:t>
      </w:r>
    </w:p>
  </w:footnote>
  <w:footnote w:id="13">
    <w:p w14:paraId="179A5249"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Weisband, </w:t>
      </w:r>
      <w:r w:rsidRPr="00FB7208">
        <w:rPr>
          <w:b/>
          <w:sz w:val="18"/>
          <w:szCs w:val="18"/>
        </w:rPr>
        <w:t>a.g.e.</w:t>
      </w:r>
      <w:r w:rsidRPr="00FB7208">
        <w:rPr>
          <w:sz w:val="18"/>
          <w:szCs w:val="18"/>
        </w:rPr>
        <w:t>, s. 247-250.</w:t>
      </w:r>
    </w:p>
  </w:footnote>
  <w:footnote w:id="14">
    <w:p w14:paraId="165372DE"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Hart, </w:t>
      </w:r>
      <w:r w:rsidRPr="00FB7208">
        <w:rPr>
          <w:b/>
          <w:sz w:val="18"/>
          <w:szCs w:val="18"/>
        </w:rPr>
        <w:t>a.g.e.</w:t>
      </w:r>
      <w:r w:rsidRPr="00FB7208">
        <w:rPr>
          <w:sz w:val="18"/>
          <w:szCs w:val="18"/>
        </w:rPr>
        <w:t>, C. II, s. 625-640.</w:t>
      </w:r>
    </w:p>
  </w:footnote>
  <w:footnote w:id="15">
    <w:p w14:paraId="1A6A78E8"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Weisband, </w:t>
      </w:r>
      <w:r w:rsidRPr="00FB7208">
        <w:rPr>
          <w:b/>
          <w:sz w:val="18"/>
          <w:szCs w:val="18"/>
        </w:rPr>
        <w:t>a.g.e.</w:t>
      </w:r>
      <w:r w:rsidRPr="00FB7208">
        <w:rPr>
          <w:sz w:val="18"/>
          <w:szCs w:val="18"/>
        </w:rPr>
        <w:t>, s. 380.</w:t>
      </w:r>
    </w:p>
  </w:footnote>
  <w:footnote w:id="16">
    <w:p w14:paraId="01AD0FFC"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Turan</w:t>
      </w:r>
      <w:r w:rsidRPr="00FB7208">
        <w:rPr>
          <w:b/>
          <w:sz w:val="18"/>
          <w:szCs w:val="18"/>
        </w:rPr>
        <w:t>, İsmet İnönü</w:t>
      </w:r>
      <w:r w:rsidRPr="00FB7208">
        <w:rPr>
          <w:sz w:val="18"/>
          <w:szCs w:val="18"/>
        </w:rPr>
        <w:t>, s. 256</w:t>
      </w:r>
    </w:p>
  </w:footnote>
  <w:footnote w:id="17">
    <w:p w14:paraId="674AF6C2"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Pakize Türkoğlu, </w:t>
      </w:r>
      <w:r w:rsidRPr="00FB7208">
        <w:rPr>
          <w:b/>
          <w:sz w:val="18"/>
          <w:szCs w:val="18"/>
        </w:rPr>
        <w:t>Tonguç ve Enstitüleri</w:t>
      </w:r>
      <w:r w:rsidRPr="00FB7208">
        <w:rPr>
          <w:sz w:val="18"/>
          <w:szCs w:val="18"/>
        </w:rPr>
        <w:t>, YKY, İstanbul, 1997, s. 154–155.</w:t>
      </w:r>
    </w:p>
  </w:footnote>
  <w:footnote w:id="18">
    <w:p w14:paraId="41E963DE"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İlhan Tekeli, “Osmanlı İmparatorluğundan Günümüze Eğitim Kurumlarının Gelişimi”, </w:t>
      </w:r>
      <w:r w:rsidRPr="00FB7208">
        <w:rPr>
          <w:b/>
          <w:sz w:val="18"/>
          <w:szCs w:val="18"/>
        </w:rPr>
        <w:t>Cumhuriyet Dönemi Türkiye Ansiklopedisi</w:t>
      </w:r>
      <w:r w:rsidRPr="00FB7208">
        <w:rPr>
          <w:sz w:val="18"/>
          <w:szCs w:val="18"/>
        </w:rPr>
        <w:t>, C. III, İletişim Yay., İstanbul, s. 666.</w:t>
      </w:r>
    </w:p>
  </w:footnote>
  <w:footnote w:id="19">
    <w:p w14:paraId="31A92200"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İ. Tekeli, </w:t>
      </w:r>
      <w:r w:rsidRPr="00FB7208">
        <w:rPr>
          <w:b/>
          <w:sz w:val="18"/>
          <w:szCs w:val="18"/>
        </w:rPr>
        <w:t>a.g.m.</w:t>
      </w:r>
      <w:r w:rsidRPr="00FB7208">
        <w:rPr>
          <w:sz w:val="18"/>
          <w:szCs w:val="18"/>
        </w:rPr>
        <w:t>, s. 666-667.</w:t>
      </w:r>
    </w:p>
  </w:footnote>
  <w:footnote w:id="20">
    <w:p w14:paraId="408A387C"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Topuz, </w:t>
      </w:r>
      <w:r w:rsidRPr="00FB7208">
        <w:rPr>
          <w:b/>
          <w:sz w:val="18"/>
          <w:szCs w:val="18"/>
        </w:rPr>
        <w:t>a.g.e.</w:t>
      </w:r>
      <w:r w:rsidRPr="00FB7208">
        <w:rPr>
          <w:sz w:val="18"/>
          <w:szCs w:val="18"/>
        </w:rPr>
        <w:t>, s.170.</w:t>
      </w:r>
    </w:p>
  </w:footnote>
  <w:footnote w:id="21">
    <w:p w14:paraId="11A5C8C3"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Korkut Boratav, </w:t>
      </w:r>
      <w:r w:rsidRPr="00FB7208">
        <w:rPr>
          <w:b/>
          <w:sz w:val="18"/>
          <w:szCs w:val="18"/>
        </w:rPr>
        <w:t>Türkiye İktisat Tarihi ( 1908 – 2007)</w:t>
      </w:r>
      <w:r w:rsidRPr="00FB7208">
        <w:rPr>
          <w:sz w:val="18"/>
          <w:szCs w:val="18"/>
        </w:rPr>
        <w:t>, İmge Kitabevi Yay., Ankara, 2008, s. 81</w:t>
      </w:r>
    </w:p>
  </w:footnote>
  <w:footnote w:id="22">
    <w:p w14:paraId="2013A0E8"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Goloğlu, </w:t>
      </w:r>
      <w:r w:rsidRPr="00FB7208">
        <w:rPr>
          <w:b/>
          <w:sz w:val="18"/>
          <w:szCs w:val="18"/>
        </w:rPr>
        <w:t>a.g.e</w:t>
      </w:r>
      <w:r w:rsidRPr="00FB7208">
        <w:rPr>
          <w:sz w:val="18"/>
          <w:szCs w:val="18"/>
        </w:rPr>
        <w:t xml:space="preserve">., s. 62-63; Boratav, </w:t>
      </w:r>
      <w:r w:rsidRPr="00FB7208">
        <w:rPr>
          <w:b/>
          <w:sz w:val="18"/>
          <w:szCs w:val="18"/>
        </w:rPr>
        <w:t>Türkiye’de Devletçilik</w:t>
      </w:r>
      <w:r w:rsidRPr="00FB7208">
        <w:rPr>
          <w:sz w:val="18"/>
          <w:szCs w:val="18"/>
        </w:rPr>
        <w:t>, s. 321-325.</w:t>
      </w:r>
    </w:p>
  </w:footnote>
  <w:footnote w:id="23">
    <w:p w14:paraId="2C10A35F"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Boratav, </w:t>
      </w:r>
      <w:r w:rsidRPr="00FB7208">
        <w:rPr>
          <w:b/>
          <w:sz w:val="18"/>
          <w:szCs w:val="18"/>
        </w:rPr>
        <w:t>Türkiye’de Devletçilik</w:t>
      </w:r>
      <w:r w:rsidRPr="00FB7208">
        <w:rPr>
          <w:sz w:val="18"/>
          <w:szCs w:val="18"/>
        </w:rPr>
        <w:t>, s. 332.</w:t>
      </w:r>
    </w:p>
  </w:footnote>
  <w:footnote w:id="24">
    <w:p w14:paraId="15584B1B"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Ayhan Aktar, </w:t>
      </w:r>
      <w:r w:rsidRPr="00FB7208">
        <w:rPr>
          <w:b/>
          <w:sz w:val="18"/>
          <w:szCs w:val="18"/>
        </w:rPr>
        <w:t>Varlık Vergisi ve Türkleştirme Politikaları</w:t>
      </w:r>
      <w:r w:rsidRPr="00FB7208">
        <w:rPr>
          <w:sz w:val="18"/>
          <w:szCs w:val="18"/>
        </w:rPr>
        <w:t>, İletişim Yay., İstanbul, 2004, s. 135.</w:t>
      </w:r>
    </w:p>
  </w:footnote>
  <w:footnote w:id="25">
    <w:p w14:paraId="77460B3E"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Tokgöz, </w:t>
      </w:r>
      <w:r w:rsidRPr="00FB7208">
        <w:rPr>
          <w:b/>
          <w:sz w:val="18"/>
          <w:szCs w:val="18"/>
        </w:rPr>
        <w:t>a.g.e</w:t>
      </w:r>
      <w:r w:rsidRPr="00FB7208">
        <w:rPr>
          <w:sz w:val="18"/>
          <w:szCs w:val="18"/>
        </w:rPr>
        <w:t>., s. 120.</w:t>
      </w:r>
    </w:p>
  </w:footnote>
  <w:footnote w:id="26">
    <w:p w14:paraId="552A51D1"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Çavdar, </w:t>
      </w:r>
      <w:r w:rsidRPr="00FB7208">
        <w:rPr>
          <w:b/>
          <w:sz w:val="18"/>
          <w:szCs w:val="18"/>
        </w:rPr>
        <w:t>Türk Demokrasi Tarihi</w:t>
      </w:r>
      <w:r w:rsidRPr="00FB7208">
        <w:rPr>
          <w:sz w:val="18"/>
          <w:szCs w:val="18"/>
        </w:rPr>
        <w:t>, C. I, s. 403.</w:t>
      </w:r>
    </w:p>
  </w:footnote>
  <w:footnote w:id="27">
    <w:p w14:paraId="5391A859"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Boratav, </w:t>
      </w:r>
      <w:r w:rsidRPr="00FB7208">
        <w:rPr>
          <w:b/>
          <w:sz w:val="18"/>
          <w:szCs w:val="18"/>
        </w:rPr>
        <w:t>Türkiye İktisat Tarihi</w:t>
      </w:r>
      <w:r w:rsidRPr="00FB7208">
        <w:rPr>
          <w:sz w:val="18"/>
          <w:szCs w:val="18"/>
        </w:rPr>
        <w:t>, s. 85.</w:t>
      </w:r>
    </w:p>
  </w:footnote>
  <w:footnote w:id="28">
    <w:p w14:paraId="15F44DFA"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Hilmi Uran, </w:t>
      </w:r>
      <w:r w:rsidRPr="00FB7208">
        <w:rPr>
          <w:b/>
          <w:sz w:val="18"/>
          <w:szCs w:val="18"/>
        </w:rPr>
        <w:t>Meşrutiyet, Tek Parti, Çok Parti Hatıralarım (1908–1950)</w:t>
      </w:r>
      <w:r w:rsidRPr="00FB7208">
        <w:rPr>
          <w:sz w:val="18"/>
          <w:szCs w:val="18"/>
        </w:rPr>
        <w:t>, Türkiye İş Bankası Yay., İstanbul, 2008, s. 359-361.</w:t>
      </w:r>
    </w:p>
  </w:footnote>
  <w:footnote w:id="29">
    <w:p w14:paraId="58603C05"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Cemil Koçak, </w:t>
      </w:r>
      <w:r w:rsidRPr="00FB7208">
        <w:rPr>
          <w:b/>
          <w:sz w:val="18"/>
          <w:szCs w:val="18"/>
        </w:rPr>
        <w:t>İkinci Parti, Türkiye’de İki Partili Siyasi Sistemin Kurulması (1945–1950)</w:t>
      </w:r>
      <w:r w:rsidRPr="00FB7208">
        <w:rPr>
          <w:sz w:val="18"/>
          <w:szCs w:val="18"/>
        </w:rPr>
        <w:t>, C. I, İletişim Yay., İstanbul, 2010, s. 516-541.</w:t>
      </w:r>
    </w:p>
  </w:footnote>
  <w:footnote w:id="30">
    <w:p w14:paraId="7EEB819A"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Mehmet Ali Birand-Can Dündar-Bülent Çaplı, </w:t>
      </w:r>
      <w:r w:rsidRPr="00FB7208">
        <w:rPr>
          <w:b/>
          <w:sz w:val="18"/>
          <w:szCs w:val="18"/>
        </w:rPr>
        <w:t>Demirkırat, Bir Demokrasinin Doğuşu</w:t>
      </w:r>
      <w:r w:rsidRPr="00FB7208">
        <w:rPr>
          <w:sz w:val="18"/>
          <w:szCs w:val="18"/>
        </w:rPr>
        <w:t xml:space="preserve">, Milliyet Yay., İstanbul, 1995, s. 26; Metin Toker, </w:t>
      </w:r>
      <w:r w:rsidRPr="00FB7208">
        <w:rPr>
          <w:b/>
          <w:sz w:val="18"/>
          <w:szCs w:val="18"/>
        </w:rPr>
        <w:t>Demokrasimizin İsmet Paşa’lı Yılları, Tek Partiden Çok Partiye (1944 – 1950)</w:t>
      </w:r>
      <w:r w:rsidRPr="00FB7208">
        <w:rPr>
          <w:sz w:val="18"/>
          <w:szCs w:val="18"/>
        </w:rPr>
        <w:t>,  Bilgi Yay., Ankara, 1998, s. 90–95; Aydemir</w:t>
      </w:r>
      <w:r w:rsidRPr="00FB7208">
        <w:rPr>
          <w:b/>
          <w:sz w:val="18"/>
          <w:szCs w:val="18"/>
        </w:rPr>
        <w:t>, İkinci Adam</w:t>
      </w:r>
      <w:r w:rsidRPr="00FB7208">
        <w:rPr>
          <w:sz w:val="18"/>
          <w:szCs w:val="18"/>
        </w:rPr>
        <w:t>, C. II, s. 442 – 445.</w:t>
      </w:r>
    </w:p>
  </w:footnote>
  <w:footnote w:id="31">
    <w:p w14:paraId="2BD7DF77"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Karpat, </w:t>
      </w:r>
      <w:r w:rsidRPr="00FB7208">
        <w:rPr>
          <w:b/>
          <w:sz w:val="18"/>
          <w:szCs w:val="18"/>
        </w:rPr>
        <w:t>Türk Demokrasi Tarihi – Sosyal, Ekonomik, Kültürel Temeller</w:t>
      </w:r>
      <w:r w:rsidRPr="00FB7208">
        <w:rPr>
          <w:sz w:val="18"/>
          <w:szCs w:val="18"/>
        </w:rPr>
        <w:t xml:space="preserve">, s. 249–251; Çavdar, “Demokrat Parti”, s. 2065.  79  Koçak,“Siyasal Tarih”, </w:t>
      </w:r>
      <w:r w:rsidRPr="00FB7208">
        <w:rPr>
          <w:b/>
          <w:sz w:val="18"/>
          <w:szCs w:val="18"/>
        </w:rPr>
        <w:t>Yakınçağ Türkiye Tarihi</w:t>
      </w:r>
      <w:r w:rsidRPr="00FB7208">
        <w:rPr>
          <w:sz w:val="18"/>
          <w:szCs w:val="18"/>
        </w:rPr>
        <w:t>, s. 184.</w:t>
      </w:r>
    </w:p>
  </w:footnote>
  <w:footnote w:id="32">
    <w:p w14:paraId="13A4AF13" w14:textId="77777777" w:rsidR="00F73B77" w:rsidRPr="00FB7208" w:rsidRDefault="00F73B77" w:rsidP="00F73B7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Turan, </w:t>
      </w:r>
      <w:r w:rsidRPr="00FB7208">
        <w:rPr>
          <w:b/>
          <w:sz w:val="18"/>
          <w:szCs w:val="18"/>
        </w:rPr>
        <w:t>İsmet İnönü</w:t>
      </w:r>
      <w:r w:rsidRPr="00FB7208">
        <w:rPr>
          <w:sz w:val="18"/>
          <w:szCs w:val="18"/>
        </w:rPr>
        <w:t>, s. 263.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CB"/>
    <w:rsid w:val="00110526"/>
    <w:rsid w:val="001B73EF"/>
    <w:rsid w:val="00744A06"/>
    <w:rsid w:val="00A04EC4"/>
    <w:rsid w:val="00D171D3"/>
    <w:rsid w:val="00E374CB"/>
    <w:rsid w:val="00F73B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3DD6"/>
  <w15:chartTrackingRefBased/>
  <w15:docId w15:val="{FF42171D-8AF3-4151-8DDA-09B01E3D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F73B77"/>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F73B77"/>
    <w:rPr>
      <w:sz w:val="20"/>
      <w:szCs w:val="20"/>
    </w:rPr>
  </w:style>
  <w:style w:type="character" w:customStyle="1" w:styleId="DipnotMetniChar1">
    <w:name w:val="Dipnot Metni Char1"/>
    <w:aliases w:val="Char Char"/>
    <w:link w:val="DipnotMetni"/>
    <w:uiPriority w:val="99"/>
    <w:rsid w:val="00F73B77"/>
    <w:rPr>
      <w:rFonts w:ascii="Times New Roman" w:eastAsia="Calibri" w:hAnsi="Times New Roman" w:cs="Times New Roman"/>
      <w:sz w:val="20"/>
      <w:szCs w:val="20"/>
      <w:lang w:val="x-none" w:eastAsia="x-none"/>
    </w:rPr>
  </w:style>
  <w:style w:type="character" w:styleId="DipnotBavurusu">
    <w:name w:val="footnote reference"/>
    <w:uiPriority w:val="99"/>
    <w:qFormat/>
    <w:rsid w:val="00F73B7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1983</Words>
  <Characters>11304</Characters>
  <Application>Microsoft Office Word</Application>
  <DocSecurity>0</DocSecurity>
  <Lines>94</Lines>
  <Paragraphs>26</Paragraphs>
  <ScaleCrop>false</ScaleCrop>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2017-11-15T19:46:00Z</dcterms:created>
  <dcterms:modified xsi:type="dcterms:W3CDTF">2024-09-10T08:49:00Z</dcterms:modified>
</cp:coreProperties>
</file>