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Ankara Üniversitesi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spacing w:before="0" w:after="160"/>
        <w:ind w:left="0" w:hanging="0"/>
        <w:rPr>
          <w:sz w:val="16"/>
          <w:szCs w:val="16"/>
        </w:rPr>
      </w:pPr>
      <w:r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1"/>
        <w:gridCol w:w="8606"/>
      </w:tblGrid>
      <w:tr>
        <w:trPr>
          <w:tblHeader w:val="true"/>
          <w:trHeight w:val="20" w:hRule="atLeast"/>
          <w:cantSplit w:val="true"/>
        </w:trPr>
        <w:tc>
          <w:tcPr>
            <w:tcW w:w="95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D9D9D9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ind w:left="-144" w:right="-144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val="clear"/>
            <w:tcMar>
              <w:left w:w="117" w:type="dxa"/>
            </w:tcMar>
            <w:vAlign w:val="center"/>
          </w:tcPr>
          <w:p>
            <w:pPr>
              <w:pStyle w:val="Normal"/>
              <w:spacing w:before="120" w:after="120"/>
              <w:ind w:left="72" w:right="197"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Farmakolojiye giriş_1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OkumaParas"/>
              <w:spacing w:before="40" w:after="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lang w:val="da-DK"/>
              </w:rPr>
              <w:t>Farmakolojiye giriş_2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Otonom Sinir Sistemi Farmakolojisi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Genel Anestezi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Nöromüsküler Bloke Edici İlaçlar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Lokal Anestezikler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Merkezi Sinir Sistemi İlaçları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Kardiyovasküler Sistem Üzerine Etkili İlaçlar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eastAsia="Times New Roman" w:cs="Times New Roman"/>
                <w:b w:val="false"/>
                <w:b w:val="false"/>
                <w:bCs w:val="false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  <w:lang w:eastAsia="tr-TR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ind w:left="0" w:hanging="0"/>
              <w:rPr>
                <w:rFonts w:ascii="Verdana" w:hAnsi="Verdana" w:eastAsia="Times New Roman" w:cs="Times New Roman"/>
                <w:b w:val="false"/>
                <w:b w:val="false"/>
                <w:bCs w:val="false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  <w:lang w:eastAsia="tr-TR"/>
              </w:rPr>
              <w:t>Analjezikler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ind w:lef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Antikoagülan ilaçlar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uble" w:sz="4" w:space="0" w:color="00000A"/>
              <w:insideH w:val="dotted" w:sz="4" w:space="0" w:color="00000A"/>
              <w:insideV w:val="double" w:sz="4" w:space="0" w:color="00000A"/>
            </w:tcBorders>
            <w:shd w:color="auto"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ind w:left="0" w:hanging="0"/>
              <w:rPr>
                <w:b w:val="false"/>
                <w:b w:val="false"/>
                <w:bCs w:val="false"/>
              </w:rPr>
            </w:pPr>
            <w:bookmarkStart w:id="0" w:name="_GoBack"/>
            <w:bookmarkEnd w:id="0"/>
            <w:r>
              <w:rPr>
                <w:b w:val="false"/>
                <w:bCs w:val="false"/>
                <w:sz w:val="16"/>
              </w:rPr>
              <w:t>Endokrin Farmakoloji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Sindirim sistemi ilaçları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</w:rPr>
              <w:t>Solunum Sistemi İlaçları</w:t>
            </w:r>
          </w:p>
        </w:tc>
      </w:tr>
      <w:tr>
        <w:trPr>
          <w:trHeight w:val="20" w:hRule="atLeast"/>
          <w:cantSplit w:val="true"/>
        </w:trPr>
        <w:tc>
          <w:tcPr>
            <w:tcW w:w="951" w:type="dxa"/>
            <w:tcBorders>
              <w:left w:val="doub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Konubasligi"/>
              <w:spacing w:before="6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Kemoterapötikler</w:t>
            </w:r>
          </w:p>
        </w:tc>
      </w:tr>
    </w:tbl>
    <w:p>
      <w:pPr>
        <w:pStyle w:val="Normal"/>
        <w:tabs>
          <w:tab w:val="left" w:pos="6375" w:leader="none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Verdana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8eb"/>
    <w:pPr>
      <w:widowControl/>
      <w:bidi w:val="0"/>
      <w:spacing w:lineRule="auto" w:line="240" w:before="0" w:after="0"/>
      <w:jc w:val="both"/>
    </w:pPr>
    <w:rPr>
      <w:rFonts w:ascii="Verdana" w:hAnsi="Verdana" w:eastAsia="Times New Roman" w:cs="Times New Roman"/>
      <w:color w:val="auto"/>
      <w:sz w:val="20"/>
      <w:szCs w:val="24"/>
      <w:lang w:eastAsia="tr-TR" w:val="tr-TR" w:bidi="ar-SA"/>
    </w:rPr>
  </w:style>
  <w:style w:type="paragraph" w:styleId="Heading3">
    <w:name w:val="Heading 3"/>
    <w:basedOn w:val="Normal"/>
    <w:next w:val="Normal"/>
    <w:link w:val="Balk3Char"/>
    <w:qFormat/>
    <w:rsid w:val="003b48eb"/>
    <w:pPr>
      <w:keepNext w:val="true"/>
      <w:ind w:left="720" w:hanging="0"/>
      <w:jc w:val="center"/>
      <w:outlineLvl w:val="2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3Char" w:customStyle="1">
    <w:name w:val="Başlık 3 Char"/>
    <w:basedOn w:val="DefaultParagraphFont"/>
    <w:link w:val="Balk3"/>
    <w:qFormat/>
    <w:rsid w:val="003b48eb"/>
    <w:rPr>
      <w:rFonts w:ascii="Verdana" w:hAnsi="Verdana" w:eastAsia="Times New Roman" w:cs="Times New Roman"/>
      <w:b/>
      <w:sz w:val="20"/>
      <w:szCs w:val="20"/>
      <w:lang w:eastAsia="tr-T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Konubasligi" w:customStyle="1">
    <w:name w:val="Konu-basligi"/>
    <w:basedOn w:val="Normal"/>
    <w:qFormat/>
    <w:rsid w:val="003b48eb"/>
    <w:pPr>
      <w:keepNext w:val="true"/>
      <w:spacing w:before="60" w:after="60"/>
      <w:ind w:left="72" w:hanging="0"/>
      <w:jc w:val="left"/>
    </w:pPr>
    <w:rPr>
      <w:b/>
      <w:sz w:val="18"/>
      <w:szCs w:val="16"/>
    </w:rPr>
  </w:style>
  <w:style w:type="paragraph" w:styleId="OkumaParas" w:customStyle="1">
    <w:name w:val="Okuma Parçası"/>
    <w:basedOn w:val="Normal"/>
    <w:qFormat/>
    <w:rsid w:val="003b48eb"/>
    <w:pPr>
      <w:spacing w:before="40" w:after="40"/>
      <w:jc w:val="left"/>
    </w:pPr>
    <w:rPr>
      <w:sz w:val="16"/>
      <w:szCs w:val="16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LibreOffice/5.3.6.1$Windows_x86 LibreOffice_project/686f202eff87ef707079aeb7f485847613344eb7</Application>
  <Pages>1</Pages>
  <Words>69</Words>
  <Characters>546</Characters>
  <CharactersWithSpaces>584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2017-02-22T11:58:00Z</dcterms:created>
  <dc:creator>gokhan</dc:creator>
  <dc:description/>
  <dc:language>tr-TR</dc:language>
  <cp:lastModifiedBy>Kemal Sayar</cp:lastModifiedBy>
  <dcterms:modified xsi:type="dcterms:W3CDTF">2017-11-07T15:12:48Z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