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1A" w:rsidRPr="006F4C1A" w:rsidRDefault="006F4C1A" w:rsidP="00C9436B">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6F4C1A">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bookmarkStart w:id="0" w:name="_GoBack"/>
      <w:bookmarkEnd w:id="0"/>
    </w:p>
    <w:p w:rsidR="00C9436B" w:rsidRPr="00C9436B" w:rsidRDefault="00C9436B" w:rsidP="00C9436B">
      <w:pPr>
        <w:pStyle w:val="ListeParagraf"/>
        <w:numPr>
          <w:ilvl w:val="0"/>
          <w:numId w:val="6"/>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C9436B">
        <w:rPr>
          <w:rFonts w:ascii="Times New Roman" w:eastAsia="Times New Roman" w:hAnsi="Times New Roman" w:cs="Times New Roman"/>
          <w:b/>
          <w:bCs/>
          <w:sz w:val="24"/>
          <w:szCs w:val="24"/>
          <w:lang w:eastAsia="tr-TR"/>
        </w:rPr>
        <w:t>AVRUPA BÜTÜNLEŞMESİNİN TARİHSEL GELİŞİMİ: GENİŞLEME</w:t>
      </w:r>
    </w:p>
    <w:p w:rsidR="00C9436B" w:rsidRPr="00C9436B" w:rsidRDefault="00C9436B" w:rsidP="00C9436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b/>
          <w:bCs/>
          <w:sz w:val="24"/>
          <w:szCs w:val="24"/>
          <w:lang w:eastAsia="tr-TR"/>
        </w:rPr>
        <w:t>Avrupa Bütünleşmesinde Genişleme</w:t>
      </w:r>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Avrupa bütünleşmesinde genişleme deyimi üye ülke sayısının artışını, 6 kurucu üyeden bugün için 27 üyeli bir yapıya ve yakın gelecekte 30 ve hatta daha fazla üyeli bir yapıya doğru dönüşümü ifade etmektedir. Bu çerçevede genişleme bugüne kadar dört dalga halinde gerçekleşmiş olarak kabul edilebilir. </w:t>
      </w:r>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Birinci genişleme dalgası kapsamında 1973 yılında Avrupa bütünleşmesine katılan ülkeler İngiltere (Birleşik Krallık), İrlanda ve Danimarka’dır.</w:t>
      </w:r>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İkinci genişleme dalgası olan ve güneye doğru genişleme olarak da adlandırılan süreç iki aşamada gerçekleşmiştir. Öncelikle 1981 yılında Yunanistan, ardından da 1986 yılında İspanya ve Portekiz Avrupa bütünleşmesine </w:t>
      </w:r>
      <w:proofErr w:type="gramStart"/>
      <w:r w:rsidRPr="00C9436B">
        <w:rPr>
          <w:rFonts w:ascii="Times New Roman" w:eastAsia="Times New Roman" w:hAnsi="Times New Roman" w:cs="Times New Roman"/>
          <w:sz w:val="24"/>
          <w:szCs w:val="24"/>
          <w:lang w:eastAsia="tr-TR"/>
        </w:rPr>
        <w:t>dahil</w:t>
      </w:r>
      <w:proofErr w:type="gramEnd"/>
      <w:r w:rsidRPr="00C9436B">
        <w:rPr>
          <w:rFonts w:ascii="Times New Roman" w:eastAsia="Times New Roman" w:hAnsi="Times New Roman" w:cs="Times New Roman"/>
          <w:sz w:val="24"/>
          <w:szCs w:val="24"/>
          <w:lang w:eastAsia="tr-TR"/>
        </w:rPr>
        <w:t xml:space="preserve"> olmuşlardır. </w:t>
      </w:r>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Üçüncü genişleme dalgası 1995 yılında Avusturya, İsveç ve Finlandiya’nın Avrupa Birliğine üyeliği ile neticelenmiştir.</w:t>
      </w:r>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Son genişleme dalgasında ise 12 ülke Avrupa Birliği üyeliğine adım atmaktadır. Bu ülkelerden Çek Cumhuriyeti, Macaristan, Polonya, Slovakya, Slovenya, Estonya, Letonya, Litvanya, Güney Kıbrıs Rum Kesimi ve Malta 1 Mayıs 2004 tarihinden itibaren Avrupa Birliğine üye olmuşlardır. Romanya ve Bulgaristan için 2007 tarihi belirlenmiş ve bu ülkelerin 1 Ocak 2007 tarihi itibariyle üyeliğiyle AB 27 üyeli hale gelmiştir. 1 Temmuz 2013 tarihinde ise Hırvatistan üye olmuştur. </w:t>
      </w:r>
    </w:p>
    <w:p w:rsidR="00C9436B" w:rsidRPr="00C9436B" w:rsidRDefault="00C9436B" w:rsidP="00C9436B">
      <w:pPr>
        <w:keepNext/>
        <w:keepLines/>
        <w:tabs>
          <w:tab w:val="left" w:pos="0"/>
          <w:tab w:val="left" w:pos="142"/>
        </w:tabs>
        <w:spacing w:before="100" w:beforeAutospacing="1" w:after="100" w:afterAutospacing="1" w:line="240" w:lineRule="auto"/>
        <w:jc w:val="both"/>
        <w:outlineLvl w:val="3"/>
        <w:rPr>
          <w:rFonts w:ascii="Times New Roman" w:eastAsia="Times New Roman" w:hAnsi="Times New Roman" w:cs="Times New Roman"/>
          <w:b/>
          <w:iCs/>
          <w:sz w:val="24"/>
          <w:szCs w:val="24"/>
          <w:lang w:eastAsia="tr-TR"/>
        </w:rPr>
      </w:pPr>
      <w:bookmarkStart w:id="1" w:name="_Toc496597946"/>
      <w:bookmarkStart w:id="2" w:name="_Toc496889222"/>
      <w:r w:rsidRPr="00C9436B">
        <w:rPr>
          <w:rFonts w:ascii="Times New Roman" w:eastAsia="Times New Roman" w:hAnsi="Times New Roman" w:cs="Times New Roman"/>
          <w:b/>
          <w:iCs/>
          <w:sz w:val="24"/>
          <w:szCs w:val="24"/>
          <w:lang w:eastAsia="tr-TR"/>
        </w:rPr>
        <w:t>Genişlemenin Hukuki Çerçevesi</w:t>
      </w:r>
      <w:bookmarkEnd w:id="1"/>
      <w:bookmarkEnd w:id="2"/>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AB'ye üyelik başvurusunun yapılması ve başvurunun değerlendirilme süreci ABA m. 49’da yer almaktadır. Bu madde uyarınca:</w:t>
      </w:r>
    </w:p>
    <w:p w:rsidR="00C9436B" w:rsidRPr="00C9436B" w:rsidRDefault="00C9436B" w:rsidP="00C9436B">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val="da-DK" w:eastAsia="tr-TR"/>
        </w:rPr>
      </w:pPr>
      <w:r w:rsidRPr="00C9436B">
        <w:rPr>
          <w:rFonts w:ascii="Times New Roman" w:eastAsia="Times New Roman" w:hAnsi="Times New Roman" w:cs="Times New Roman"/>
          <w:sz w:val="24"/>
          <w:szCs w:val="24"/>
          <w:lang w:eastAsia="tr-TR"/>
        </w:rPr>
        <w:t>“</w:t>
      </w:r>
      <w:r w:rsidRPr="00C9436B">
        <w:rPr>
          <w:rFonts w:ascii="Times New Roman" w:eastAsia="Times New Roman" w:hAnsi="Times New Roman" w:cs="Times New Roman"/>
          <w:sz w:val="24"/>
          <w:szCs w:val="24"/>
          <w:lang w:val="da-DK" w:eastAsia="tr-TR"/>
        </w:rPr>
        <w:t>2. maddede belirtilen değerlere saygı gösteren ve bu değerleri desteklemeyi taahhüt eden her Avrupa devleti, Birliğe üye olmak için başvuruda bulunabilir. Bu başvuru Avrupa Parlamentosuna ve ulusal parlamentolara bildirilir. Başvuruda bulunan devlet, başvurusunu, Komisyona danıştıktan ve üye tam sayısının çoğunluğuyla karar verecek olan Avrupa Parlamentosunun muvafakatini aldıktan sonra oybirliğiyle hareket edecek olan Konseye yapar. Avrupa Birliği Zirvesi tarafından kararlaştırılan yeterlilik kriterleri dikkate alınır.</w:t>
      </w:r>
    </w:p>
    <w:p w:rsidR="00C9436B" w:rsidRPr="00C9436B" w:rsidRDefault="00C9436B" w:rsidP="00C9436B">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val="da-DK" w:eastAsia="tr-TR"/>
        </w:rPr>
      </w:pPr>
      <w:r w:rsidRPr="00C9436B">
        <w:rPr>
          <w:rFonts w:ascii="Times New Roman" w:eastAsia="Times New Roman" w:hAnsi="Times New Roman" w:cs="Times New Roman"/>
          <w:sz w:val="24"/>
          <w:szCs w:val="24"/>
          <w:lang w:val="da-DK" w:eastAsia="tr-TR"/>
        </w:rPr>
        <w:t>Katılımın şartları ve bu katılımın Birliğin üzerine kurulduğu Antlaşmalar’da yapılmasını gerektirdiği uyarlamalar, üye devletlerle başvuran devlet arasında yapılacak bir anlaşma ile belirlenir. Bu anlaşma, kendi anayasal kurallarına uygun olarak onaylanmak üzere bütün âkit devletlere sunulur.”</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lastRenderedPageBreak/>
        <w:t>Bu madde hükmü ışığında katılımın koşulları usule ve esasa ilişkin olarak iki farklı temelde ele alınabilir.</w:t>
      </w:r>
      <w:r w:rsidRPr="00C9436B">
        <w:rPr>
          <w:rFonts w:ascii="Times New Roman" w:eastAsia="Times New Roman" w:hAnsi="Times New Roman" w:cs="Times New Roman"/>
          <w:sz w:val="24"/>
          <w:szCs w:val="24"/>
          <w:vertAlign w:val="superscript"/>
          <w:lang w:eastAsia="tr-TR"/>
        </w:rPr>
        <w:footnoteReference w:id="1"/>
      </w:r>
      <w:r w:rsidRPr="00C9436B">
        <w:rPr>
          <w:rFonts w:ascii="Times New Roman" w:eastAsia="Times New Roman" w:hAnsi="Times New Roman" w:cs="Times New Roman"/>
          <w:sz w:val="24"/>
          <w:szCs w:val="24"/>
          <w:lang w:eastAsia="tr-TR"/>
        </w:rPr>
        <w:t xml:space="preserve"> Buna göre usule ilişkin koşullar şunlardır:</w:t>
      </w:r>
    </w:p>
    <w:p w:rsidR="00C9436B" w:rsidRPr="00C9436B" w:rsidRDefault="00C9436B" w:rsidP="00C9436B">
      <w:pPr>
        <w:widowControl w:val="0"/>
        <w:numPr>
          <w:ilvl w:val="0"/>
          <w:numId w:val="4"/>
        </w:numPr>
        <w:tabs>
          <w:tab w:val="left" w:pos="142"/>
          <w:tab w:val="left" w:pos="567"/>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Başvurunun Konseye yapılması;</w:t>
      </w:r>
    </w:p>
    <w:p w:rsidR="00C9436B" w:rsidRPr="00C9436B" w:rsidRDefault="00C9436B" w:rsidP="00C9436B">
      <w:pPr>
        <w:widowControl w:val="0"/>
        <w:numPr>
          <w:ilvl w:val="0"/>
          <w:numId w:val="4"/>
        </w:numPr>
        <w:tabs>
          <w:tab w:val="left" w:pos="142"/>
          <w:tab w:val="left" w:pos="567"/>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Başvurunun Avrupa Parlamentosuna ve ulusal parlamentolara bildirilmesi;</w:t>
      </w:r>
    </w:p>
    <w:p w:rsidR="00C9436B" w:rsidRPr="00C9436B" w:rsidRDefault="00C9436B" w:rsidP="00C9436B">
      <w:pPr>
        <w:widowControl w:val="0"/>
        <w:numPr>
          <w:ilvl w:val="0"/>
          <w:numId w:val="4"/>
        </w:numPr>
        <w:tabs>
          <w:tab w:val="left" w:pos="142"/>
          <w:tab w:val="left" w:pos="567"/>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Konseyin kararını vermeden önce, Komisyona danışmak ve üye tam sayısının çoğunluğuyla karar verecek olan Parlamentonun muvafakatini almak zorunda olması;</w:t>
      </w:r>
    </w:p>
    <w:p w:rsidR="00C9436B" w:rsidRPr="00C9436B" w:rsidRDefault="00C9436B" w:rsidP="00C9436B">
      <w:pPr>
        <w:widowControl w:val="0"/>
        <w:numPr>
          <w:ilvl w:val="0"/>
          <w:numId w:val="4"/>
        </w:numPr>
        <w:tabs>
          <w:tab w:val="left" w:pos="142"/>
          <w:tab w:val="left" w:pos="567"/>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Konseyin, başvurunun akıbetine ilişkin kararını oybirliğiyle alması;</w:t>
      </w:r>
    </w:p>
    <w:p w:rsidR="00C9436B" w:rsidRPr="00C9436B" w:rsidRDefault="00C9436B" w:rsidP="00C9436B">
      <w:pPr>
        <w:widowControl w:val="0"/>
        <w:numPr>
          <w:ilvl w:val="0"/>
          <w:numId w:val="4"/>
        </w:numPr>
        <w:tabs>
          <w:tab w:val="left" w:pos="142"/>
          <w:tab w:val="left" w:pos="567"/>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Katılım Antlaşmasının kendi anayasal kurallarına uygun olarak onaylanmak üzere bütün âkit devletlere sunulması.</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Maddede düzenlenen esasa ilişkin koşulları ise şu şekilde saymak mümkündür:</w:t>
      </w:r>
    </w:p>
    <w:p w:rsidR="00C9436B" w:rsidRPr="00C9436B" w:rsidRDefault="00C9436B" w:rsidP="00C9436B">
      <w:pPr>
        <w:widowControl w:val="0"/>
        <w:numPr>
          <w:ilvl w:val="0"/>
          <w:numId w:val="5"/>
        </w:numPr>
        <w:tabs>
          <w:tab w:val="left" w:pos="142"/>
          <w:tab w:val="left" w:pos="426"/>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ABA m. 2’de düzenlenen Birliğin dayandığı temel değerlere saygı gösterilmesi ve bu değerleri desteklemenin taahhüt edilmesi;</w:t>
      </w:r>
    </w:p>
    <w:p w:rsidR="00C9436B" w:rsidRPr="00C9436B" w:rsidRDefault="00C9436B" w:rsidP="00C9436B">
      <w:pPr>
        <w:widowControl w:val="0"/>
        <w:numPr>
          <w:ilvl w:val="0"/>
          <w:numId w:val="5"/>
        </w:numPr>
        <w:tabs>
          <w:tab w:val="left" w:pos="142"/>
          <w:tab w:val="left" w:pos="426"/>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Başvurunun incelenmesinde Avrupa Birliği Zirvesi tarafından kararlaştırılan yeterlilik </w:t>
      </w:r>
      <w:proofErr w:type="gramStart"/>
      <w:r w:rsidRPr="00C9436B">
        <w:rPr>
          <w:rFonts w:ascii="Times New Roman" w:eastAsia="Times New Roman" w:hAnsi="Times New Roman" w:cs="Times New Roman"/>
          <w:sz w:val="24"/>
          <w:szCs w:val="24"/>
          <w:lang w:eastAsia="tr-TR"/>
        </w:rPr>
        <w:t>kriterlerinin</w:t>
      </w:r>
      <w:proofErr w:type="gramEnd"/>
      <w:r w:rsidRPr="00C9436B">
        <w:rPr>
          <w:rFonts w:ascii="Times New Roman" w:eastAsia="Times New Roman" w:hAnsi="Times New Roman" w:cs="Times New Roman"/>
          <w:sz w:val="24"/>
          <w:szCs w:val="24"/>
          <w:lang w:eastAsia="tr-TR"/>
        </w:rPr>
        <w:t xml:space="preserve"> dikkate alınması;</w:t>
      </w:r>
    </w:p>
    <w:p w:rsidR="00C9436B" w:rsidRPr="00C9436B" w:rsidRDefault="00C9436B" w:rsidP="00C9436B">
      <w:pPr>
        <w:widowControl w:val="0"/>
        <w:numPr>
          <w:ilvl w:val="0"/>
          <w:numId w:val="5"/>
        </w:numPr>
        <w:tabs>
          <w:tab w:val="left" w:pos="142"/>
          <w:tab w:val="left" w:pos="426"/>
        </w:tabs>
        <w:suppressAutoHyphens/>
        <w:spacing w:before="100" w:beforeAutospacing="1" w:after="100" w:afterAutospacing="1" w:line="240" w:lineRule="auto"/>
        <w:ind w:left="567"/>
        <w:jc w:val="both"/>
        <w:textAlignment w:val="baseline"/>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Katılımın şartlarını ve bu katılımın Birliğin üzerine kurulduğu Antlaşmalarda yapılmasını gerektiren uyarlamaları içeren ve üye devletlerle başvuran devlet arasında yapılacak katılım antlaşmasının imzalanması.</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Lizbon Antlaşması ile bu maddeye getirilen temel değişiklikler, üyelik başvurusu konusunda Avrupa Parlamentosu ve ulusal parlamentoların bilgilendirilmesi ve başvurunun incelenmesinde Avrupa Birliği Zirvesi tarafından kararlaştırılan yeterlilik şartlarının dikkate alınacağı hükmünün eklenmesidir. Bunun yanı sıra aday ülkenin niteliğini ortaya koyan ve bir ölçüde de “Avrupalı” olmanın içerdiği değerlerin Lizbon Antlaşması ile bir defa daha ve genişletilerek belirlendiği görülmektedir.</w:t>
      </w:r>
    </w:p>
    <w:p w:rsidR="00C9436B" w:rsidRPr="00C9436B" w:rsidRDefault="00C9436B" w:rsidP="00C9436B">
      <w:pPr>
        <w:tabs>
          <w:tab w:val="left" w:pos="0"/>
          <w:tab w:val="left" w:pos="14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Lizbon Antlaşması öncesi ABA m. 6 </w:t>
      </w:r>
      <w:r w:rsidRPr="00C9436B">
        <w:rPr>
          <w:rFonts w:ascii="Times New Roman" w:eastAsia="Times New Roman" w:hAnsi="Times New Roman" w:cs="Times New Roman"/>
          <w:iCs/>
          <w:sz w:val="24"/>
          <w:szCs w:val="24"/>
          <w:lang w:eastAsia="tr-TR"/>
        </w:rPr>
        <w:t>“AB’nin üye devletlerin ortak ilkeleri olan özgürlük, demokrasi, insan hakları ve temel</w:t>
      </w:r>
      <w:r w:rsidRPr="00C9436B">
        <w:rPr>
          <w:rFonts w:ascii="Times New Roman" w:eastAsia="Times New Roman" w:hAnsi="Times New Roman" w:cs="Times New Roman"/>
          <w:sz w:val="24"/>
          <w:szCs w:val="24"/>
          <w:lang w:eastAsia="tr-TR"/>
        </w:rPr>
        <w:t xml:space="preserve"> </w:t>
      </w:r>
      <w:r w:rsidRPr="00C9436B">
        <w:rPr>
          <w:rFonts w:ascii="Times New Roman" w:eastAsia="Times New Roman" w:hAnsi="Times New Roman" w:cs="Times New Roman"/>
          <w:iCs/>
          <w:sz w:val="24"/>
          <w:szCs w:val="24"/>
          <w:lang w:eastAsia="tr-TR"/>
        </w:rPr>
        <w:t xml:space="preserve">özgürlüklere saygı ve hukukun üstünlüğü ilkeleri üzerine kurulduğu” </w:t>
      </w:r>
      <w:r w:rsidRPr="00C9436B">
        <w:rPr>
          <w:rFonts w:ascii="Times New Roman" w:eastAsia="Times New Roman" w:hAnsi="Times New Roman" w:cs="Times New Roman"/>
          <w:sz w:val="24"/>
          <w:szCs w:val="24"/>
          <w:lang w:eastAsia="tr-TR"/>
        </w:rPr>
        <w:t xml:space="preserve">hükmünü içeriyordu. Lizbon Antlaşması sonrası ABA m. 2’de ise AB’nin “değerleri” şu şekilde ifade edilmektedir: </w:t>
      </w:r>
    </w:p>
    <w:p w:rsidR="00C9436B" w:rsidRPr="00C9436B" w:rsidRDefault="00C9436B" w:rsidP="00C9436B">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w:t>
      </w:r>
      <w:r w:rsidRPr="00C9436B">
        <w:rPr>
          <w:rFonts w:ascii="Times New Roman" w:eastAsia="Times New Roman" w:hAnsi="Times New Roman" w:cs="Times New Roman"/>
          <w:sz w:val="24"/>
          <w:szCs w:val="24"/>
          <w:lang w:val="da-DK" w:eastAsia="tr-TR"/>
        </w:rPr>
        <w:t>Birlik, insan onuruna saygı, özgürlük, demokrasi, eşitlik, hukukun üstünlüğü ve azınlıklara mensup kişilerin hakları da dâhil olmak üzere insan haklarına saygı değerleri üzerine kurulmuştur. Bu değerler, çoğulculuk, ayrımcılık yapmama, hoşgörü, adalet, dayanışma ve kadın-erkek eşitliğinin hakim olduğu bir toplumda üye devletler için ortaktır.”</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Katılım </w:t>
      </w:r>
      <w:proofErr w:type="gramStart"/>
      <w:r w:rsidRPr="00C9436B">
        <w:rPr>
          <w:rFonts w:ascii="Times New Roman" w:eastAsia="Times New Roman" w:hAnsi="Times New Roman" w:cs="Times New Roman"/>
          <w:sz w:val="24"/>
          <w:szCs w:val="24"/>
          <w:lang w:eastAsia="tr-TR"/>
        </w:rPr>
        <w:t>kriterlerinin</w:t>
      </w:r>
      <w:proofErr w:type="gramEnd"/>
      <w:r w:rsidRPr="00C9436B">
        <w:rPr>
          <w:rFonts w:ascii="Times New Roman" w:eastAsia="Times New Roman" w:hAnsi="Times New Roman" w:cs="Times New Roman"/>
          <w:sz w:val="24"/>
          <w:szCs w:val="24"/>
          <w:lang w:eastAsia="tr-TR"/>
        </w:rPr>
        <w:t xml:space="preserve"> ise zımnen de olsa Antlaşmalara dâhil edilmiş olması hukuki niteliklerinin güçlenmesine olduğu kadar siyasi ve sembolik önemlerinin altının çizilmesine de hizmet etmektedir. İlk kez 1993 Kopenhag Zirvesinde ortaya konulan, ardından 1995 Madrid Zirvesinde geliştirilen Kopenhag Kriterleri</w:t>
      </w:r>
      <w:r w:rsidRPr="00C9436B">
        <w:rPr>
          <w:rFonts w:ascii="Times New Roman" w:eastAsia="Times New Roman" w:hAnsi="Times New Roman" w:cs="Times New Roman"/>
          <w:sz w:val="24"/>
          <w:szCs w:val="24"/>
          <w:vertAlign w:val="superscript"/>
          <w:lang w:eastAsia="tr-TR"/>
        </w:rPr>
        <w:footnoteReference w:id="2"/>
      </w:r>
      <w:r w:rsidRPr="00C9436B">
        <w:rPr>
          <w:rFonts w:ascii="Times New Roman" w:eastAsia="Times New Roman" w:hAnsi="Times New Roman" w:cs="Times New Roman"/>
          <w:sz w:val="24"/>
          <w:szCs w:val="24"/>
          <w:lang w:eastAsia="tr-TR"/>
        </w:rPr>
        <w:t xml:space="preserve">, bir Avrupa ülkesinin AB üyeliğine kabul edilebilmesi için sahip olması gereken temel nitelikleri saptamaktadır. Bunlar siyasal, ekonomik ve hukuki (müktesebat </w:t>
      </w:r>
      <w:proofErr w:type="gramStart"/>
      <w:r w:rsidRPr="00C9436B">
        <w:rPr>
          <w:rFonts w:ascii="Times New Roman" w:eastAsia="Times New Roman" w:hAnsi="Times New Roman" w:cs="Times New Roman"/>
          <w:sz w:val="24"/>
          <w:szCs w:val="24"/>
          <w:lang w:eastAsia="tr-TR"/>
        </w:rPr>
        <w:t>kriteri</w:t>
      </w:r>
      <w:proofErr w:type="gramEnd"/>
      <w:r w:rsidRPr="00C9436B">
        <w:rPr>
          <w:rFonts w:ascii="Times New Roman" w:eastAsia="Times New Roman" w:hAnsi="Times New Roman" w:cs="Times New Roman"/>
          <w:sz w:val="24"/>
          <w:szCs w:val="24"/>
          <w:lang w:eastAsia="tr-TR"/>
        </w:rPr>
        <w:t xml:space="preserve">) olmak üzere üç temel başlık altında düzenlenmektedir. Siyasal </w:t>
      </w:r>
      <w:proofErr w:type="gramStart"/>
      <w:r w:rsidRPr="00C9436B">
        <w:rPr>
          <w:rFonts w:ascii="Times New Roman" w:eastAsia="Times New Roman" w:hAnsi="Times New Roman" w:cs="Times New Roman"/>
          <w:sz w:val="24"/>
          <w:szCs w:val="24"/>
          <w:lang w:eastAsia="tr-TR"/>
        </w:rPr>
        <w:t>kriterlere</w:t>
      </w:r>
      <w:proofErr w:type="gramEnd"/>
      <w:r w:rsidRPr="00C9436B">
        <w:rPr>
          <w:rFonts w:ascii="Times New Roman" w:eastAsia="Times New Roman" w:hAnsi="Times New Roman" w:cs="Times New Roman"/>
          <w:sz w:val="24"/>
          <w:szCs w:val="24"/>
          <w:lang w:eastAsia="tr-TR"/>
        </w:rPr>
        <w:t xml:space="preserve"> göre, AB’ye aday ülkelerde demokrasiyi, hukukun </w:t>
      </w:r>
      <w:r w:rsidRPr="00C9436B">
        <w:rPr>
          <w:rFonts w:ascii="Times New Roman" w:eastAsia="Times New Roman" w:hAnsi="Times New Roman" w:cs="Times New Roman"/>
          <w:sz w:val="24"/>
          <w:szCs w:val="24"/>
          <w:lang w:eastAsia="tr-TR"/>
        </w:rPr>
        <w:lastRenderedPageBreak/>
        <w:t xml:space="preserve">üstünlüğünü, insan haklarını ve azınlıkların korunmasını ve saygı görmesini teminat altına alan kurumların istikrara kavuşturulmuş olması gerekmektedir. Ekonomik </w:t>
      </w:r>
      <w:proofErr w:type="gramStart"/>
      <w:r w:rsidRPr="00C9436B">
        <w:rPr>
          <w:rFonts w:ascii="Times New Roman" w:eastAsia="Times New Roman" w:hAnsi="Times New Roman" w:cs="Times New Roman"/>
          <w:sz w:val="24"/>
          <w:szCs w:val="24"/>
          <w:lang w:eastAsia="tr-TR"/>
        </w:rPr>
        <w:t>kriterlerse</w:t>
      </w:r>
      <w:proofErr w:type="gramEnd"/>
      <w:r w:rsidRPr="00C9436B">
        <w:rPr>
          <w:rFonts w:ascii="Times New Roman" w:eastAsia="Times New Roman" w:hAnsi="Times New Roman" w:cs="Times New Roman"/>
          <w:sz w:val="24"/>
          <w:szCs w:val="24"/>
          <w:lang w:eastAsia="tr-TR"/>
        </w:rPr>
        <w:t>, işleyen bir piyasa ekonomisinin mevcudiyetini, AB içindeki rekabet ve piyasa güçleriyle baş edebilme kapasitesini üyelik için koşul saymaktadır. Kopenhag Zirvesinde alınan kararlarda, ayrıca, “Üyelik, adayın siyasi, ekonomik ve parasal birliğe katılım da dâhil olmak üzere, üyeliğin getirdiği yükümlülükleri üstlenebileceğini varsayar” cümlesine yer verilerek, AB müktesebatına uyumun temin edilmesi gerekliliği üyelik için bir koşul haline getirilmiştir.</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Bu </w:t>
      </w:r>
      <w:proofErr w:type="gramStart"/>
      <w:r w:rsidRPr="00C9436B">
        <w:rPr>
          <w:rFonts w:ascii="Times New Roman" w:eastAsia="Times New Roman" w:hAnsi="Times New Roman" w:cs="Times New Roman"/>
          <w:sz w:val="24"/>
          <w:szCs w:val="24"/>
          <w:lang w:eastAsia="tr-TR"/>
        </w:rPr>
        <w:t>kriterlere</w:t>
      </w:r>
      <w:proofErr w:type="gramEnd"/>
      <w:r w:rsidRPr="00C9436B">
        <w:rPr>
          <w:rFonts w:ascii="Times New Roman" w:eastAsia="Times New Roman" w:hAnsi="Times New Roman" w:cs="Times New Roman"/>
          <w:sz w:val="24"/>
          <w:szCs w:val="24"/>
          <w:lang w:eastAsia="tr-TR"/>
        </w:rPr>
        <w:t xml:space="preserve"> 1995 Madrid Zirvesi’nde “[Topluluk] politikalarının uyumlu olarak yürütülmesini </w:t>
      </w:r>
      <w:proofErr w:type="spellStart"/>
      <w:r w:rsidRPr="00C9436B">
        <w:rPr>
          <w:rFonts w:ascii="Times New Roman" w:eastAsia="Times New Roman" w:hAnsi="Times New Roman" w:cs="Times New Roman"/>
          <w:sz w:val="24"/>
          <w:szCs w:val="24"/>
          <w:lang w:eastAsia="tr-TR"/>
        </w:rPr>
        <w:t>teminen</w:t>
      </w:r>
      <w:proofErr w:type="spellEnd"/>
      <w:r w:rsidRPr="00C9436B">
        <w:rPr>
          <w:rFonts w:ascii="Times New Roman" w:eastAsia="Times New Roman" w:hAnsi="Times New Roman" w:cs="Times New Roman"/>
          <w:sz w:val="24"/>
          <w:szCs w:val="24"/>
          <w:lang w:eastAsia="tr-TR"/>
        </w:rPr>
        <w:t>, katılım ertesinde aday ülkelerin idari yapılarının uyumlaştırılması gereği” de eklenmiştir. Böylece AB müktesebatının ulusal mevzuata geçirilmesinin gerekli olmakla beraber yeterli olmadığı; asıl önemli olanın etkili biçimde uygulama olduğu vurgulanmış olmaktadır.</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Kopenhag AB Zirvesi Sonuçlarında, ayrıca, AB’nin yeni üyeyi sindirebilme kapasitesine sahip olması gerektiği üzerinde de durulmuş, AB’nin yeni üyenin katılımından sonra da bütünleşme ivmesini sürdürebilmesinin önemine işaret edilmiştir. </w:t>
      </w:r>
    </w:p>
    <w:p w:rsidR="00C9436B" w:rsidRPr="00C9436B" w:rsidRDefault="00C9436B" w:rsidP="00C9436B">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C9436B">
        <w:rPr>
          <w:rFonts w:ascii="Times New Roman" w:eastAsia="Times New Roman" w:hAnsi="Times New Roman" w:cs="Times New Roman"/>
          <w:sz w:val="24"/>
          <w:szCs w:val="24"/>
          <w:lang w:eastAsia="tr-TR"/>
        </w:rPr>
        <w:t xml:space="preserve">Lizbon Antlaşması’nın, ABA m. 49’a getirdiği Avrupa Parlamentosu ve üye devletlerin ulusal parlamentolarının üyelik başvurusu konusunda bilgilendirilmesi gereği ve üyelik için uygunluğun/yeterliliğinin değerlendirilmesinde zımni olarak Kopenhag ve Madrid Kriterleri’ne atıf yapılması şeklindeki değişikliklerle genişleme sürecinin daha belirgin bir çerçeveye kavuşturulduğu ifade edilebilir. </w:t>
      </w:r>
      <w:proofErr w:type="gramStart"/>
      <w:r w:rsidRPr="00C9436B">
        <w:rPr>
          <w:rFonts w:ascii="Times New Roman" w:eastAsia="Times New Roman" w:hAnsi="Times New Roman" w:cs="Times New Roman"/>
          <w:sz w:val="24"/>
          <w:szCs w:val="24"/>
          <w:lang w:eastAsia="tr-TR"/>
        </w:rPr>
        <w:t xml:space="preserve">Katılım sürecinin sonunda çoğu durumda ulusal anayasal sistemlerin bir gereği olarak ulusal parlamentoların onayının zorunlu olmasının yanı sıra, sürecin pek çok aşamasında siyasi ve/veya hukuki olarak, ancak en son aşamada katılım antlaşmasının onayında her hal ve karda hukuki olarak, Avrupa Parlamentosunun olumlu görüşü gerekeceğinden bu bildirim zorunluluğu doğal görülmelidir. </w:t>
      </w:r>
      <w:proofErr w:type="gramEnd"/>
    </w:p>
    <w:p w:rsidR="00C9436B" w:rsidRPr="00C9436B" w:rsidRDefault="00C9436B" w:rsidP="00C9436B">
      <w:pPr>
        <w:spacing w:before="100" w:beforeAutospacing="1" w:after="100" w:afterAutospacing="1" w:line="240" w:lineRule="auto"/>
        <w:ind w:firstLine="709"/>
        <w:jc w:val="both"/>
        <w:rPr>
          <w:rFonts w:ascii="Times New Roman" w:eastAsia="Times New Roman" w:hAnsi="Times New Roman" w:cs="Times New Roman"/>
          <w:b/>
          <w:bCs/>
          <w:sz w:val="24"/>
          <w:szCs w:val="24"/>
          <w:lang w:eastAsia="tr-TR"/>
        </w:rPr>
      </w:pPr>
      <w:r w:rsidRPr="00C9436B">
        <w:rPr>
          <w:rFonts w:ascii="Times New Roman" w:eastAsia="Times New Roman" w:hAnsi="Times New Roman" w:cs="Times New Roman"/>
          <w:sz w:val="24"/>
          <w:szCs w:val="24"/>
          <w:lang w:eastAsia="tr-TR"/>
        </w:rPr>
        <w:t xml:space="preserve">ABA m. 49’a göre katılım antlaşmalarının yürürlüğe girmesinin üye devletlerin ulusal hukuklarında da onaylanmasını gerektirdiği ve bu çerçevede, uluslararası anlaşmaların ulusal hukuklarında yürürlüğe girmesi için gereken onay </w:t>
      </w:r>
      <w:proofErr w:type="gramStart"/>
      <w:r w:rsidRPr="00C9436B">
        <w:rPr>
          <w:rFonts w:ascii="Times New Roman" w:eastAsia="Times New Roman" w:hAnsi="Times New Roman" w:cs="Times New Roman"/>
          <w:sz w:val="24"/>
          <w:szCs w:val="24"/>
          <w:lang w:eastAsia="tr-TR"/>
        </w:rPr>
        <w:t>prosedürlerinin</w:t>
      </w:r>
      <w:proofErr w:type="gramEnd"/>
      <w:r w:rsidRPr="00C9436B">
        <w:rPr>
          <w:rFonts w:ascii="Times New Roman" w:eastAsia="Times New Roman" w:hAnsi="Times New Roman" w:cs="Times New Roman"/>
          <w:sz w:val="24"/>
          <w:szCs w:val="24"/>
          <w:lang w:eastAsia="tr-TR"/>
        </w:rPr>
        <w:t xml:space="preserve"> belirlenmesi yetkisi üye devletlerde bulunmakta ve kendi anayasal kural ve prosedürleri ile düzenlenmektedir.</w:t>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46" w:rsidRDefault="00490746" w:rsidP="00C9436B">
      <w:pPr>
        <w:spacing w:after="0" w:line="240" w:lineRule="auto"/>
      </w:pPr>
      <w:r>
        <w:separator/>
      </w:r>
    </w:p>
  </w:endnote>
  <w:endnote w:type="continuationSeparator" w:id="0">
    <w:p w:rsidR="00490746" w:rsidRDefault="00490746"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46" w:rsidRDefault="00490746" w:rsidP="00C9436B">
      <w:pPr>
        <w:spacing w:after="0" w:line="240" w:lineRule="auto"/>
      </w:pPr>
      <w:r>
        <w:separator/>
      </w:r>
    </w:p>
  </w:footnote>
  <w:footnote w:type="continuationSeparator" w:id="0">
    <w:p w:rsidR="00490746" w:rsidRDefault="00490746" w:rsidP="00C9436B">
      <w:pPr>
        <w:spacing w:after="0" w:line="240" w:lineRule="auto"/>
      </w:pPr>
      <w:r>
        <w:continuationSeparator/>
      </w:r>
    </w:p>
  </w:footnote>
  <w:footnote w:id="1">
    <w:p w:rsidR="00C9436B" w:rsidRPr="00FC0F7B" w:rsidRDefault="00C9436B" w:rsidP="00C9436B">
      <w:pPr>
        <w:pStyle w:val="DipnotMetni"/>
        <w:jc w:val="both"/>
        <w:rPr>
          <w:sz w:val="18"/>
          <w:szCs w:val="18"/>
        </w:rPr>
      </w:pPr>
      <w:r w:rsidRPr="0024488E">
        <w:rPr>
          <w:rStyle w:val="DipnotBavurusu"/>
        </w:rPr>
        <w:footnoteRef/>
      </w:r>
      <w:r w:rsidRPr="00FC0F7B">
        <w:rPr>
          <w:sz w:val="18"/>
          <w:szCs w:val="18"/>
        </w:rPr>
        <w:t xml:space="preserve"> </w:t>
      </w:r>
      <w:proofErr w:type="gramStart"/>
      <w:r w:rsidRPr="00FC0F7B">
        <w:rPr>
          <w:sz w:val="18"/>
          <w:szCs w:val="18"/>
        </w:rPr>
        <w:t xml:space="preserve">Bu </w:t>
      </w:r>
      <w:proofErr w:type="spellStart"/>
      <w:r w:rsidRPr="00FC0F7B">
        <w:rPr>
          <w:sz w:val="18"/>
          <w:szCs w:val="18"/>
        </w:rPr>
        <w:t>ayrım</w:t>
      </w:r>
      <w:proofErr w:type="spellEnd"/>
      <w:r w:rsidRPr="00FC0F7B">
        <w:rPr>
          <w:sz w:val="18"/>
          <w:szCs w:val="18"/>
        </w:rPr>
        <w:t xml:space="preserve"> </w:t>
      </w:r>
      <w:proofErr w:type="spellStart"/>
      <w:r w:rsidRPr="00FC0F7B">
        <w:rPr>
          <w:sz w:val="18"/>
          <w:szCs w:val="18"/>
        </w:rPr>
        <w:t>için</w:t>
      </w:r>
      <w:proofErr w:type="spellEnd"/>
      <w:r w:rsidRPr="00FC0F7B">
        <w:rPr>
          <w:sz w:val="18"/>
          <w:szCs w:val="18"/>
        </w:rPr>
        <w:t xml:space="preserve"> </w:t>
      </w:r>
      <w:proofErr w:type="spellStart"/>
      <w:r w:rsidRPr="00FC0F7B">
        <w:rPr>
          <w:sz w:val="18"/>
          <w:szCs w:val="18"/>
        </w:rPr>
        <w:t>bkz</w:t>
      </w:r>
      <w:proofErr w:type="spellEnd"/>
      <w:r w:rsidRPr="00FC0F7B">
        <w:rPr>
          <w:sz w:val="18"/>
          <w:szCs w:val="18"/>
        </w:rPr>
        <w:t>.</w:t>
      </w:r>
      <w:proofErr w:type="gramEnd"/>
      <w:r w:rsidRPr="00FC0F7B">
        <w:rPr>
          <w:sz w:val="18"/>
          <w:szCs w:val="18"/>
        </w:rPr>
        <w:t xml:space="preserve"> </w:t>
      </w:r>
      <w:r w:rsidRPr="00FC0F7B">
        <w:rPr>
          <w:sz w:val="18"/>
          <w:szCs w:val="18"/>
        </w:rPr>
        <w:fldChar w:fldCharType="begin"/>
      </w:r>
      <w:r w:rsidRPr="00FC0F7B">
        <w:rPr>
          <w:sz w:val="18"/>
          <w:szCs w:val="18"/>
        </w:rPr>
        <w:instrText xml:space="preserve"> ADDIN ZOTERO_ITEM CSL_CITATION {"citationID":"Lo71N9w6","properties":{"formattedCitation":"{\\rtf Christophe Hillion, \\uc0\\u8220{}The Creeping Nationalisation of the EU Enlargement Policy\\uc0\\u8221{}, {\\i{}Swedish Institute for European Policy Studies, } Say\\uc0\\u305{}: 2010/6, 2010, s. 8\\uc0\\u8211{}9.}","plainCitation":"Christophe Hillion, “The Creeping Nationalisation of the EU Enlargement Policy”, Swedish Institute for European Policy Studies,  Sayı: 2010/6, 2010, s. 8–9."},"citationItems":[{"id":4374,"uris":["http://zotero.org/users/1653358/items/6FVII738"],"uri":["http://zotero.org/users/1653358/items/6FVII738"],"itemData":{"id":4374,"type":"article-journal","title":"The Creeping Nationalisation of the EU Enlargement Policy","container-title":"Swedish Institute for European Policy Studies","issue":"2010/6","author":[{"family":"Hillion","given":"Christophe"}],"issued":{"date-parts":[["2010"]]}},"locator":"8-9"}],"schema":"https://github.com/citation-style-language/schema/raw/master/csl-citation.json"} </w:instrText>
      </w:r>
      <w:r w:rsidRPr="00FC0F7B">
        <w:rPr>
          <w:sz w:val="18"/>
          <w:szCs w:val="18"/>
        </w:rPr>
        <w:fldChar w:fldCharType="separate"/>
      </w:r>
      <w:r w:rsidRPr="00FC0F7B">
        <w:rPr>
          <w:sz w:val="18"/>
          <w:szCs w:val="18"/>
        </w:rPr>
        <w:t xml:space="preserve">Christophe Hillion, “The Creeping Nationalisation of the EU Enlargement Policy”, </w:t>
      </w:r>
      <w:r w:rsidRPr="00FC0F7B">
        <w:rPr>
          <w:i/>
          <w:iCs/>
          <w:sz w:val="18"/>
          <w:szCs w:val="18"/>
        </w:rPr>
        <w:t xml:space="preserve">Swedish Institute for European Policy Studies, </w:t>
      </w:r>
      <w:r w:rsidRPr="00FC0F7B">
        <w:rPr>
          <w:sz w:val="18"/>
          <w:szCs w:val="18"/>
        </w:rPr>
        <w:t xml:space="preserve"> Sayı: 2010/6, 2010, s. 8–9.</w:t>
      </w:r>
      <w:r w:rsidRPr="00FC0F7B">
        <w:rPr>
          <w:sz w:val="18"/>
          <w:szCs w:val="18"/>
        </w:rPr>
        <w:fldChar w:fldCharType="end"/>
      </w:r>
    </w:p>
  </w:footnote>
  <w:footnote w:id="2">
    <w:p w:rsidR="00C9436B" w:rsidRPr="00FC0F7B" w:rsidRDefault="00C9436B" w:rsidP="00C9436B">
      <w:pPr>
        <w:pStyle w:val="DipnotMetni"/>
        <w:jc w:val="both"/>
        <w:rPr>
          <w:sz w:val="18"/>
          <w:szCs w:val="18"/>
        </w:rPr>
      </w:pPr>
      <w:r w:rsidRPr="00AD7F2C">
        <w:rPr>
          <w:rStyle w:val="DipnotBavurusu"/>
        </w:rPr>
        <w:footnoteRef/>
      </w:r>
      <w:r w:rsidRPr="00AD7F2C">
        <w:rPr>
          <w:sz w:val="18"/>
          <w:szCs w:val="18"/>
        </w:rPr>
        <w:t xml:space="preserve"> </w:t>
      </w:r>
      <w:r>
        <w:rPr>
          <w:sz w:val="18"/>
          <w:szCs w:val="18"/>
        </w:rPr>
        <w:t xml:space="preserve">Copenhagen </w:t>
      </w:r>
      <w:r w:rsidRPr="00AD7F2C">
        <w:rPr>
          <w:sz w:val="18"/>
          <w:szCs w:val="18"/>
        </w:rPr>
        <w:t xml:space="preserve">European Council, </w:t>
      </w:r>
      <w:r>
        <w:rPr>
          <w:sz w:val="18"/>
          <w:szCs w:val="18"/>
        </w:rPr>
        <w:t xml:space="preserve">Copenhagen </w:t>
      </w:r>
      <w:r w:rsidRPr="00AD7F2C">
        <w:rPr>
          <w:sz w:val="18"/>
          <w:szCs w:val="18"/>
        </w:rPr>
        <w:t xml:space="preserve">Presidency Conclusions, </w:t>
      </w:r>
      <w:r w:rsidRPr="00AD7F2C">
        <w:rPr>
          <w:b/>
          <w:sz w:val="18"/>
          <w:szCs w:val="18"/>
        </w:rPr>
        <w:t>Bulletin of the European Communities</w:t>
      </w:r>
      <w:r>
        <w:rPr>
          <w:sz w:val="18"/>
          <w:szCs w:val="18"/>
        </w:rPr>
        <w:t>, No. 6/1993</w:t>
      </w:r>
      <w:r w:rsidRPr="00AD7F2C">
        <w:rPr>
          <w:sz w:val="18"/>
          <w:szCs w:val="18"/>
        </w:rPr>
        <w:t>, Luxembourg, Office for Official Publications o</w:t>
      </w:r>
      <w:r>
        <w:rPr>
          <w:sz w:val="18"/>
          <w:szCs w:val="18"/>
        </w:rPr>
        <w:t>f the European Communities, 1993</w:t>
      </w:r>
      <w:r w:rsidRPr="00AD7F2C">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2">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490746"/>
    <w:rsid w:val="005D0CFC"/>
    <w:rsid w:val="006C4D8C"/>
    <w:rsid w:val="006F4C1A"/>
    <w:rsid w:val="007F07F1"/>
    <w:rsid w:val="00877FA3"/>
    <w:rsid w:val="00944E44"/>
    <w:rsid w:val="00C9436B"/>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2017-11-08T08:07:00Z</dcterms:created>
  <dcterms:modified xsi:type="dcterms:W3CDTF">2017-11-08T08:21:00Z</dcterms:modified>
</cp:coreProperties>
</file>