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44" w:rsidRPr="00852844" w:rsidRDefault="00852844" w:rsidP="006C03C8">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852844">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bookmarkStart w:id="0" w:name="_GoBack"/>
      <w:bookmarkEnd w:id="0"/>
    </w:p>
    <w:p w:rsidR="006C03C8" w:rsidRPr="006C03C8" w:rsidRDefault="006C03C8" w:rsidP="006C03C8">
      <w:pPr>
        <w:pStyle w:val="ListeParagraf"/>
        <w:numPr>
          <w:ilvl w:val="0"/>
          <w:numId w:val="7"/>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6C03C8">
        <w:rPr>
          <w:rFonts w:ascii="Times New Roman" w:eastAsia="Times New Roman" w:hAnsi="Times New Roman" w:cs="Times New Roman"/>
          <w:b/>
          <w:bCs/>
          <w:sz w:val="24"/>
          <w:szCs w:val="24"/>
          <w:lang w:eastAsia="tr-TR"/>
        </w:rPr>
        <w:t>AVRUPA BÜTÜNLEŞMESİNİN TARİHSEL GELİŞİMİ: DERİNLEŞME I</w:t>
      </w:r>
    </w:p>
    <w:p w:rsidR="006C03C8" w:rsidRPr="006C03C8" w:rsidRDefault="006C03C8" w:rsidP="006C03C8">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bütünleşmesi bağlamında derinleşme terimi, bir yandan bütünleşmenin yetki ve faaliyet alanlarındaki artışı, öte yandan da kurumsal yapı içindeki değişiklikleri ve reformları ifade etmek üzere kullanılmaktadır. Bunun yanı sıra bütünleşmenin antlaşma metinlerinde somut olarak ifade edilen amaçlarının güncellenmesi ve ilerletilmesi de derinleşmenin bir unsuru olarak görülmelidir. Genel olarak kurucu antlaşma değişiklikleri yoluyla gerçekleştirilen derinleşme hareketi Avrupa bütünleşmesi çerçevesinde bugün için altı aşamada gerçekleşmiştir.</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Bunlar arasında, Avrupa Topluluklarının kurumlarını iki aşamada her üç Topluluk için de birleştiren Füzyon Olayı: </w:t>
      </w:r>
      <w:proofErr w:type="gramStart"/>
      <w:r w:rsidRPr="006C03C8">
        <w:rPr>
          <w:rFonts w:ascii="Times New Roman" w:eastAsia="Times New Roman" w:hAnsi="Times New Roman" w:cs="Times New Roman"/>
          <w:sz w:val="24"/>
          <w:szCs w:val="24"/>
          <w:lang w:eastAsia="tr-TR"/>
        </w:rPr>
        <w:t>(</w:t>
      </w:r>
      <w:proofErr w:type="gramEnd"/>
      <w:r w:rsidRPr="006C03C8">
        <w:rPr>
          <w:rFonts w:ascii="Times New Roman" w:eastAsia="Times New Roman" w:hAnsi="Times New Roman" w:cs="Times New Roman"/>
          <w:sz w:val="24"/>
          <w:szCs w:val="24"/>
          <w:lang w:eastAsia="tr-TR"/>
        </w:rPr>
        <w:t>her üç Topluluk için tek bir “Meclis” ve “Divan” kurulması, 1958 yılında yürürlüğe giren 1957 tarihli Roma Antlaşmasına ekli bir Protokol ile kararlaştırılmıştı. 1965 yılında imzalanıp 1967 tarihinde yürürlüğe giren Füzyon Antlaşması ile de her üç Topluluk için tek bir Bakanlar Konseyi ve Komisyon oluşturulmasına karar verildi</w:t>
      </w:r>
      <w:proofErr w:type="gramStart"/>
      <w:r w:rsidRPr="006C03C8">
        <w:rPr>
          <w:rFonts w:ascii="Times New Roman" w:eastAsia="Times New Roman" w:hAnsi="Times New Roman" w:cs="Times New Roman"/>
          <w:sz w:val="24"/>
          <w:szCs w:val="24"/>
          <w:lang w:eastAsia="tr-TR"/>
        </w:rPr>
        <w:t>)</w:t>
      </w:r>
      <w:proofErr w:type="gramEnd"/>
      <w:r w:rsidRPr="006C03C8">
        <w:rPr>
          <w:rFonts w:ascii="Times New Roman" w:eastAsia="Times New Roman" w:hAnsi="Times New Roman" w:cs="Times New Roman"/>
          <w:sz w:val="24"/>
          <w:szCs w:val="24"/>
          <w:lang w:eastAsia="tr-TR"/>
        </w:rPr>
        <w:t xml:space="preserve">; Topluluk bütçesinin karara bağlanma yöntemini belirleyen ve Avrupa </w:t>
      </w:r>
      <w:proofErr w:type="spellStart"/>
      <w:r w:rsidRPr="006C03C8">
        <w:rPr>
          <w:rFonts w:ascii="Times New Roman" w:eastAsia="Times New Roman" w:hAnsi="Times New Roman" w:cs="Times New Roman"/>
          <w:sz w:val="24"/>
          <w:szCs w:val="24"/>
          <w:lang w:eastAsia="tr-TR"/>
        </w:rPr>
        <w:t>Sayıştayı’nı</w:t>
      </w:r>
      <w:proofErr w:type="spellEnd"/>
      <w:r w:rsidRPr="006C03C8">
        <w:rPr>
          <w:rFonts w:ascii="Times New Roman" w:eastAsia="Times New Roman" w:hAnsi="Times New Roman" w:cs="Times New Roman"/>
          <w:sz w:val="24"/>
          <w:szCs w:val="24"/>
          <w:lang w:eastAsia="tr-TR"/>
        </w:rPr>
        <w:t xml:space="preserve"> kuran 1970 ve 1975 tarihli Bütçe Anlaşmaları; Topluluğu gerçek anlamda bir iç pazara götürme hedefine yönelik kurumsal yapı değişikliklerini ve yetki alanlarında genişlemeyi içeren ve 1987 yılında yürürlüğe giren Avrupa Tek Senedi; 1992 yılında imzalanan ve 1993 tarihinde yürürlüğe giren ve Avrupa bütünleşmesinin yapısında bugüne dek yaşanan en köklü değişikleri içeren (tek para ve yakınlaştırılmış ekonomi politikalarının temellerini atan, Topluluğun yetki ve faaliyet alanlarını genişleten ve Avrupa Ekonomik Topluluğu’nu Avrupa Topluluğu olarak değiştiren, bunun yanında bir dışişleri ve güvenlik politikası ve adalet ve içişlerinde işbirliği politikası öngörmek suretiyle siyasi bütünleşmenin, yani Avrupa Birliği’nin temellerini atan) Maastricht Antlaşması; yeni genişleme sürecine hazırlık oluşturması için kurumsal yapı ve AB’nin yetkileri alanında bazı değişiklikler getiren ve kurucu antlaşmaların yeniden </w:t>
      </w:r>
      <w:proofErr w:type="spellStart"/>
      <w:r w:rsidRPr="006C03C8">
        <w:rPr>
          <w:rFonts w:ascii="Times New Roman" w:eastAsia="Times New Roman" w:hAnsi="Times New Roman" w:cs="Times New Roman"/>
          <w:sz w:val="24"/>
          <w:szCs w:val="24"/>
          <w:lang w:eastAsia="tr-TR"/>
        </w:rPr>
        <w:t>maddelendirilmesini</w:t>
      </w:r>
      <w:proofErr w:type="spellEnd"/>
      <w:r w:rsidRPr="006C03C8">
        <w:rPr>
          <w:rFonts w:ascii="Times New Roman" w:eastAsia="Times New Roman" w:hAnsi="Times New Roman" w:cs="Times New Roman"/>
          <w:sz w:val="24"/>
          <w:szCs w:val="24"/>
          <w:lang w:eastAsia="tr-TR"/>
        </w:rPr>
        <w:t xml:space="preserve"> öngörerek bu alandaki karışıklığı ortadan kaldırmayı hedefleyen, 1997 yılında imzalanıp 1999 yılında yürürlüğe giren Amsterdam Antlaşması ve son olarak da genişleme sürecinin gerektirdiği kurumsal yapı değişikliklerinin gerçekleştirilmesi yönünde önemli adımlar atan, 2001 yılında imzalanıp 2003 Şubatında </w:t>
      </w:r>
      <w:proofErr w:type="gramStart"/>
      <w:r w:rsidRPr="006C03C8">
        <w:rPr>
          <w:rFonts w:ascii="Times New Roman" w:eastAsia="Times New Roman" w:hAnsi="Times New Roman" w:cs="Times New Roman"/>
          <w:sz w:val="24"/>
          <w:szCs w:val="24"/>
          <w:lang w:eastAsia="tr-TR"/>
        </w:rPr>
        <w:t>yürürlüğe</w:t>
      </w:r>
      <w:proofErr w:type="gramEnd"/>
      <w:r w:rsidRPr="006C03C8">
        <w:rPr>
          <w:rFonts w:ascii="Times New Roman" w:eastAsia="Times New Roman" w:hAnsi="Times New Roman" w:cs="Times New Roman"/>
          <w:sz w:val="24"/>
          <w:szCs w:val="24"/>
          <w:lang w:eastAsia="tr-TR"/>
        </w:rPr>
        <w:t xml:space="preserve"> giren Nice Antlaşması’dır.</w:t>
      </w:r>
    </w:p>
    <w:p w:rsidR="006C03C8" w:rsidRPr="006C03C8" w:rsidRDefault="006C03C8" w:rsidP="006C03C8">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6C03C8">
        <w:rPr>
          <w:rFonts w:ascii="Times New Roman" w:eastAsia="Times New Roman" w:hAnsi="Times New Roman" w:cs="Times New Roman"/>
          <w:b/>
          <w:sz w:val="24"/>
          <w:szCs w:val="24"/>
          <w:lang w:eastAsia="tr-TR"/>
        </w:rPr>
        <w:t xml:space="preserve">Avrupa Tek Senedi </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Avrupa bütünleşmesinin öncelikli hedefi </w:t>
      </w:r>
      <w:proofErr w:type="spellStart"/>
      <w:r w:rsidRPr="006C03C8">
        <w:rPr>
          <w:rFonts w:ascii="Times New Roman" w:eastAsia="Times New Roman" w:hAnsi="Times New Roman" w:cs="Times New Roman"/>
          <w:sz w:val="24"/>
          <w:szCs w:val="24"/>
          <w:lang w:eastAsia="tr-TR"/>
        </w:rPr>
        <w:t>AET’nu</w:t>
      </w:r>
      <w:proofErr w:type="spellEnd"/>
      <w:r w:rsidRPr="006C03C8">
        <w:rPr>
          <w:rFonts w:ascii="Times New Roman" w:eastAsia="Times New Roman" w:hAnsi="Times New Roman" w:cs="Times New Roman"/>
          <w:sz w:val="24"/>
          <w:szCs w:val="24"/>
          <w:lang w:eastAsia="tr-TR"/>
        </w:rPr>
        <w:t xml:space="preserve"> kuran Roma Antlaşmasında üye </w:t>
      </w:r>
      <w:proofErr w:type="gramStart"/>
      <w:r w:rsidRPr="006C03C8">
        <w:rPr>
          <w:rFonts w:ascii="Times New Roman" w:eastAsia="Times New Roman" w:hAnsi="Times New Roman" w:cs="Times New Roman"/>
          <w:sz w:val="24"/>
          <w:szCs w:val="24"/>
          <w:lang w:eastAsia="tr-TR"/>
        </w:rPr>
        <w:t>devletler arasında</w:t>
      </w:r>
      <w:proofErr w:type="gramEnd"/>
      <w:r w:rsidRPr="006C03C8">
        <w:rPr>
          <w:rFonts w:ascii="Times New Roman" w:eastAsia="Times New Roman" w:hAnsi="Times New Roman" w:cs="Times New Roman"/>
          <w:sz w:val="24"/>
          <w:szCs w:val="24"/>
          <w:lang w:eastAsia="tr-TR"/>
        </w:rPr>
        <w:t xml:space="preserve"> malların, işgücünün, hizmetlerin ve sermayenin, yani üretim faktörlerinin serbest dolaşımına dayalı bir ortak pazar kurulması olarak tespit edilmiştir. Bu hedefin ilk aşaması olan ve malların serbest dolaşımını sağlamaya yönelik Gümrük Birliği (gümrük vergileri, miktar kısıtlamaları ve eş etkili önlemlerin üye </w:t>
      </w:r>
      <w:proofErr w:type="gramStart"/>
      <w:r w:rsidRPr="006C03C8">
        <w:rPr>
          <w:rFonts w:ascii="Times New Roman" w:eastAsia="Times New Roman" w:hAnsi="Times New Roman" w:cs="Times New Roman"/>
          <w:sz w:val="24"/>
          <w:szCs w:val="24"/>
          <w:lang w:eastAsia="tr-TR"/>
        </w:rPr>
        <w:t>devletler arası</w:t>
      </w:r>
      <w:proofErr w:type="gramEnd"/>
      <w:r w:rsidRPr="006C03C8">
        <w:rPr>
          <w:rFonts w:ascii="Times New Roman" w:eastAsia="Times New Roman" w:hAnsi="Times New Roman" w:cs="Times New Roman"/>
          <w:sz w:val="24"/>
          <w:szCs w:val="24"/>
          <w:lang w:eastAsia="tr-TR"/>
        </w:rPr>
        <w:t xml:space="preserve"> ticarette kaldırılması ile üçüncü ülkelerden gelecek mallar için bir Ortak Gümrük Tarifesi ve Ortak Dış Ticaret Politikası uygulanması) hedefi öngörülenden 18 ay önce, yani 1 Temmuz 1968’de kurulmuştur. </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Buna karşılık, 1970 ve 80’lerde Avrupa bütünleşmesi bir duraklama dönemine girmiştir. Özellikle karar süreçlerinde yaşanan tıkanıklıklar (Fransa’nın 60’ların ortalarında uyguladığı boş sandalye politikası ve sorunu çözmek için üye devletlerin “hayati ulusal çıkar” </w:t>
      </w:r>
      <w:r w:rsidRPr="006C03C8">
        <w:rPr>
          <w:rFonts w:ascii="Times New Roman" w:eastAsia="Times New Roman" w:hAnsi="Times New Roman" w:cs="Times New Roman"/>
          <w:sz w:val="24"/>
          <w:szCs w:val="24"/>
          <w:lang w:eastAsia="tr-TR"/>
        </w:rPr>
        <w:lastRenderedPageBreak/>
        <w:t xml:space="preserve">iddiası ile karar alınmasını veto etmelerine </w:t>
      </w:r>
      <w:proofErr w:type="gramStart"/>
      <w:r w:rsidRPr="006C03C8">
        <w:rPr>
          <w:rFonts w:ascii="Times New Roman" w:eastAsia="Times New Roman" w:hAnsi="Times New Roman" w:cs="Times New Roman"/>
          <w:sz w:val="24"/>
          <w:szCs w:val="24"/>
          <w:lang w:eastAsia="tr-TR"/>
        </w:rPr>
        <w:t>imkan</w:t>
      </w:r>
      <w:proofErr w:type="gramEnd"/>
      <w:r w:rsidRPr="006C03C8">
        <w:rPr>
          <w:rFonts w:ascii="Times New Roman" w:eastAsia="Times New Roman" w:hAnsi="Times New Roman" w:cs="Times New Roman"/>
          <w:sz w:val="24"/>
          <w:szCs w:val="24"/>
          <w:lang w:eastAsia="tr-TR"/>
        </w:rPr>
        <w:t xml:space="preserve"> sağlayan “Lüksemburg uzlaşısı” çerçevesinde) ve ekonomik durgunluk, Roma Antlaşmasının temel hedefi olan “Ortak </w:t>
      </w:r>
      <w:proofErr w:type="spellStart"/>
      <w:r w:rsidRPr="006C03C8">
        <w:rPr>
          <w:rFonts w:ascii="Times New Roman" w:eastAsia="Times New Roman" w:hAnsi="Times New Roman" w:cs="Times New Roman"/>
          <w:sz w:val="24"/>
          <w:szCs w:val="24"/>
          <w:lang w:eastAsia="tr-TR"/>
        </w:rPr>
        <w:t>Pazar”a</w:t>
      </w:r>
      <w:proofErr w:type="spellEnd"/>
      <w:r w:rsidRPr="006C03C8">
        <w:rPr>
          <w:rFonts w:ascii="Times New Roman" w:eastAsia="Times New Roman" w:hAnsi="Times New Roman" w:cs="Times New Roman"/>
          <w:sz w:val="24"/>
          <w:szCs w:val="24"/>
          <w:lang w:eastAsia="tr-TR"/>
        </w:rPr>
        <w:t xml:space="preserve"> ulaşılmasını engelliyordu. Üretim faktörlerinin serbest dolaşımının önündeki engeller sadece tabiiyete dayalı ayrımcılığın yasaklanması (negatif </w:t>
      </w:r>
      <w:proofErr w:type="gramStart"/>
      <w:r w:rsidRPr="006C03C8">
        <w:rPr>
          <w:rFonts w:ascii="Times New Roman" w:eastAsia="Times New Roman" w:hAnsi="Times New Roman" w:cs="Times New Roman"/>
          <w:sz w:val="24"/>
          <w:szCs w:val="24"/>
          <w:lang w:eastAsia="tr-TR"/>
        </w:rPr>
        <w:t>entegrasyon</w:t>
      </w:r>
      <w:proofErr w:type="gramEnd"/>
      <w:r w:rsidRPr="006C03C8">
        <w:rPr>
          <w:rFonts w:ascii="Times New Roman" w:eastAsia="Times New Roman" w:hAnsi="Times New Roman" w:cs="Times New Roman"/>
          <w:sz w:val="24"/>
          <w:szCs w:val="24"/>
          <w:lang w:eastAsia="tr-TR"/>
        </w:rPr>
        <w:t xml:space="preserve">) ile ortadan kaldırılamıyor; fiziki, teknik ve mali nitelikteki bu engellerin kaldırılması için üye devletlerin çeşitli alanlardaki mevzuatlarının da uyumlaştırılması (pozitif entegrasyon) gerekiyordu. Gerekli atılımı sağlamak üzere Komisyon tarafından 1985 yılında Topluluk iç pazarının tamamlanması için hazırlanan “Beyaz Kitap” çerçevesinde önerilen direktiflerin onaylanmasını kolaylaştırmak ve kurucu antlaşmaların belli politika ve mekanizmalarla takviye edilmesini sağlamak üzere, Roma Antlaşmasının 236. maddesine dayanılarak kurucu antlaşmalarda değişikliğe gidildi. Bu çerçevede imzalanan “Avrupa Tek Senedi”, 1 Temmuz 1987 tarihinde yürürlüğe girdi. </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Tek Senet </w:t>
      </w:r>
      <w:proofErr w:type="gramStart"/>
      <w:r w:rsidRPr="006C03C8">
        <w:rPr>
          <w:rFonts w:ascii="Times New Roman" w:eastAsia="Times New Roman" w:hAnsi="Times New Roman" w:cs="Times New Roman"/>
          <w:sz w:val="24"/>
          <w:szCs w:val="24"/>
          <w:lang w:eastAsia="tr-TR"/>
        </w:rPr>
        <w:t>ile,</w:t>
      </w:r>
      <w:proofErr w:type="gramEnd"/>
      <w:r w:rsidRPr="006C03C8">
        <w:rPr>
          <w:rFonts w:ascii="Times New Roman" w:eastAsia="Times New Roman" w:hAnsi="Times New Roman" w:cs="Times New Roman"/>
          <w:sz w:val="24"/>
          <w:szCs w:val="24"/>
          <w:lang w:eastAsia="tr-TR"/>
        </w:rPr>
        <w:t xml:space="preserve"> Roma Antlaşmasında yer alan ama, gerçekleştirilmesinde engel ve eksikliklerle karşılaşılan “Ortak Pazar” hedefi yeniden tanımlandı ve bu ortak pazarın önündeki fiziki, teknik ve mali engellerin kaldırılması amacıyla bazı düzenlemelerin yapılması gereğine yer verildi. Söz konusu düzenlemelerin en geç 31 Aralık 1992 tarihine dek tamamlanarak üye devletler tarafından iç hukuka geçirilmelerine ve böylece “ortak”, “iç” ya da “tek” pazar amacına ulaşılması öngörüldü. Bu çerçevede bir yandan karar alma mekanizmalarında değişikliklere gidildi, öte yandan ise yeni politika alanları Topluluk yetkisine </w:t>
      </w:r>
      <w:proofErr w:type="gramStart"/>
      <w:r w:rsidRPr="006C03C8">
        <w:rPr>
          <w:rFonts w:ascii="Times New Roman" w:eastAsia="Times New Roman" w:hAnsi="Times New Roman" w:cs="Times New Roman"/>
          <w:sz w:val="24"/>
          <w:szCs w:val="24"/>
          <w:lang w:eastAsia="tr-TR"/>
        </w:rPr>
        <w:t>dahil</w:t>
      </w:r>
      <w:proofErr w:type="gramEnd"/>
      <w:r w:rsidRPr="006C03C8">
        <w:rPr>
          <w:rFonts w:ascii="Times New Roman" w:eastAsia="Times New Roman" w:hAnsi="Times New Roman" w:cs="Times New Roman"/>
          <w:sz w:val="24"/>
          <w:szCs w:val="24"/>
          <w:lang w:eastAsia="tr-TR"/>
        </w:rPr>
        <w:t xml:space="preserve"> edildi. </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proofErr w:type="gramStart"/>
      <w:r w:rsidRPr="006C03C8">
        <w:rPr>
          <w:rFonts w:ascii="Times New Roman" w:eastAsia="Times New Roman" w:hAnsi="Times New Roman" w:cs="Times New Roman"/>
          <w:sz w:val="24"/>
          <w:szCs w:val="24"/>
          <w:lang w:eastAsia="tr-TR"/>
        </w:rPr>
        <w:t xml:space="preserve">Karar alma mekanizmaları bağlamında, Bakanlar Konseyinde </w:t>
      </w:r>
      <w:proofErr w:type="spellStart"/>
      <w:r w:rsidRPr="006C03C8">
        <w:rPr>
          <w:rFonts w:ascii="Times New Roman" w:eastAsia="Times New Roman" w:hAnsi="Times New Roman" w:cs="Times New Roman"/>
          <w:sz w:val="24"/>
          <w:szCs w:val="24"/>
          <w:lang w:eastAsia="tr-TR"/>
        </w:rPr>
        <w:t>gayrıresmi</w:t>
      </w:r>
      <w:proofErr w:type="spellEnd"/>
      <w:r w:rsidRPr="006C03C8">
        <w:rPr>
          <w:rFonts w:ascii="Times New Roman" w:eastAsia="Times New Roman" w:hAnsi="Times New Roman" w:cs="Times New Roman"/>
          <w:sz w:val="24"/>
          <w:szCs w:val="24"/>
          <w:lang w:eastAsia="tr-TR"/>
        </w:rPr>
        <w:t xml:space="preserve"> nitelikli “Lüksemburg </w:t>
      </w:r>
      <w:proofErr w:type="spellStart"/>
      <w:r w:rsidRPr="006C03C8">
        <w:rPr>
          <w:rFonts w:ascii="Times New Roman" w:eastAsia="Times New Roman" w:hAnsi="Times New Roman" w:cs="Times New Roman"/>
          <w:sz w:val="24"/>
          <w:szCs w:val="24"/>
          <w:lang w:eastAsia="tr-TR"/>
        </w:rPr>
        <w:t>uzlaşısı”nın</w:t>
      </w:r>
      <w:proofErr w:type="spellEnd"/>
      <w:r w:rsidRPr="006C03C8">
        <w:rPr>
          <w:rFonts w:ascii="Times New Roman" w:eastAsia="Times New Roman" w:hAnsi="Times New Roman" w:cs="Times New Roman"/>
          <w:sz w:val="24"/>
          <w:szCs w:val="24"/>
          <w:lang w:eastAsia="tr-TR"/>
        </w:rPr>
        <w:t xml:space="preserve"> uygulamasının terk edilerek, nitelikli oy çokluğu ile karar alma uygulamasına ağırlık verilmesi, Avrupa Parlamentosunun karar süreçlerine daha etkin katılımını sağlamak üzere “işbirliği </w:t>
      </w:r>
      <w:proofErr w:type="spellStart"/>
      <w:r w:rsidRPr="006C03C8">
        <w:rPr>
          <w:rFonts w:ascii="Times New Roman" w:eastAsia="Times New Roman" w:hAnsi="Times New Roman" w:cs="Times New Roman"/>
          <w:sz w:val="24"/>
          <w:szCs w:val="24"/>
          <w:lang w:eastAsia="tr-TR"/>
        </w:rPr>
        <w:t>usulü”nün</w:t>
      </w:r>
      <w:proofErr w:type="spellEnd"/>
      <w:r w:rsidRPr="006C03C8">
        <w:rPr>
          <w:rFonts w:ascii="Times New Roman" w:eastAsia="Times New Roman" w:hAnsi="Times New Roman" w:cs="Times New Roman"/>
          <w:sz w:val="24"/>
          <w:szCs w:val="24"/>
          <w:lang w:eastAsia="tr-TR"/>
        </w:rPr>
        <w:t xml:space="preserve"> ve yeni üye kabulü ve ortaklık anlaşmaları konularında Parlamentonun vereceği “uygun görüş </w:t>
      </w:r>
      <w:proofErr w:type="spellStart"/>
      <w:r w:rsidRPr="006C03C8">
        <w:rPr>
          <w:rFonts w:ascii="Times New Roman" w:eastAsia="Times New Roman" w:hAnsi="Times New Roman" w:cs="Times New Roman"/>
          <w:sz w:val="24"/>
          <w:szCs w:val="24"/>
          <w:lang w:eastAsia="tr-TR"/>
        </w:rPr>
        <w:t>şartı”nın</w:t>
      </w:r>
      <w:proofErr w:type="spellEnd"/>
      <w:r w:rsidRPr="006C03C8">
        <w:rPr>
          <w:rFonts w:ascii="Times New Roman" w:eastAsia="Times New Roman" w:hAnsi="Times New Roman" w:cs="Times New Roman"/>
          <w:sz w:val="24"/>
          <w:szCs w:val="24"/>
          <w:lang w:eastAsia="tr-TR"/>
        </w:rPr>
        <w:t xml:space="preserve"> (onay) öngörülmesi gibi önlemlere yer veriliyor; kurumsal yapıda bazı değişikliklere gidiliyordu.</w:t>
      </w:r>
      <w:proofErr w:type="gramEnd"/>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Bundan başka Adalet Divanının artan iş yükünü hafifletmek amacıyla bir İlk Derece Mahkemesinin kurulması öngörülüyor ve 1960’lardan beri </w:t>
      </w:r>
      <w:proofErr w:type="spellStart"/>
      <w:r w:rsidRPr="006C03C8">
        <w:rPr>
          <w:rFonts w:ascii="Times New Roman" w:eastAsia="Times New Roman" w:hAnsi="Times New Roman" w:cs="Times New Roman"/>
          <w:sz w:val="24"/>
          <w:szCs w:val="24"/>
          <w:lang w:eastAsia="tr-TR"/>
        </w:rPr>
        <w:t>gayrıresmi</w:t>
      </w:r>
      <w:proofErr w:type="spellEnd"/>
      <w:r w:rsidRPr="006C03C8">
        <w:rPr>
          <w:rFonts w:ascii="Times New Roman" w:eastAsia="Times New Roman" w:hAnsi="Times New Roman" w:cs="Times New Roman"/>
          <w:sz w:val="24"/>
          <w:szCs w:val="24"/>
          <w:lang w:eastAsia="tr-TR"/>
        </w:rPr>
        <w:t xml:space="preserve"> olarak toplanan Üye Devletlerin Hükümet ve Devlet Başkanları Zirvesi antlaşmaların yapısı içine </w:t>
      </w:r>
      <w:proofErr w:type="gramStart"/>
      <w:r w:rsidRPr="006C03C8">
        <w:rPr>
          <w:rFonts w:ascii="Times New Roman" w:eastAsia="Times New Roman" w:hAnsi="Times New Roman" w:cs="Times New Roman"/>
          <w:sz w:val="24"/>
          <w:szCs w:val="24"/>
          <w:lang w:eastAsia="tr-TR"/>
        </w:rPr>
        <w:t>dahil</w:t>
      </w:r>
      <w:proofErr w:type="gramEnd"/>
      <w:r w:rsidRPr="006C03C8">
        <w:rPr>
          <w:rFonts w:ascii="Times New Roman" w:eastAsia="Times New Roman" w:hAnsi="Times New Roman" w:cs="Times New Roman"/>
          <w:sz w:val="24"/>
          <w:szCs w:val="24"/>
          <w:lang w:eastAsia="tr-TR"/>
        </w:rPr>
        <w:t xml:space="preserve"> edilerek resmiyet kazanıyor ve yeniden düzenleniyordu.</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Yeni politika alanlarının Topluluk yetkisine aktarılması bağlamında ise, bazı veçheleri bakımından sosyal politika, ekonomik ve sosyal bütünleşme/uyum, teknolojik araştırma ve geliştirme, çevre politikası üzerinde duruluyor, dış politika alanında ise, üye </w:t>
      </w:r>
      <w:proofErr w:type="gramStart"/>
      <w:r w:rsidRPr="006C03C8">
        <w:rPr>
          <w:rFonts w:ascii="Times New Roman" w:eastAsia="Times New Roman" w:hAnsi="Times New Roman" w:cs="Times New Roman"/>
          <w:sz w:val="24"/>
          <w:szCs w:val="24"/>
          <w:lang w:eastAsia="tr-TR"/>
        </w:rPr>
        <w:t>devletler arasında</w:t>
      </w:r>
      <w:proofErr w:type="gramEnd"/>
      <w:r w:rsidRPr="006C03C8">
        <w:rPr>
          <w:rFonts w:ascii="Times New Roman" w:eastAsia="Times New Roman" w:hAnsi="Times New Roman" w:cs="Times New Roman"/>
          <w:sz w:val="24"/>
          <w:szCs w:val="24"/>
          <w:lang w:eastAsia="tr-TR"/>
        </w:rPr>
        <w:t xml:space="preserve"> daha sıkı bir işbirliği ve koordinasyon sağlanması yolunda bir “Avrupa Siyasi İşbirliği” mekanizması tesis ediliyordu.</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Avrupa Tek Senedi ile, basit bir “ortak Pazar” yerine, </w:t>
      </w:r>
      <w:proofErr w:type="gramStart"/>
      <w:r w:rsidRPr="006C03C8">
        <w:rPr>
          <w:rFonts w:ascii="Times New Roman" w:eastAsia="Times New Roman" w:hAnsi="Times New Roman" w:cs="Times New Roman"/>
          <w:sz w:val="24"/>
          <w:szCs w:val="24"/>
          <w:lang w:eastAsia="tr-TR"/>
        </w:rPr>
        <w:t>entegre</w:t>
      </w:r>
      <w:proofErr w:type="gramEnd"/>
      <w:r w:rsidRPr="006C03C8">
        <w:rPr>
          <w:rFonts w:ascii="Times New Roman" w:eastAsia="Times New Roman" w:hAnsi="Times New Roman" w:cs="Times New Roman"/>
          <w:sz w:val="24"/>
          <w:szCs w:val="24"/>
          <w:lang w:eastAsia="tr-TR"/>
        </w:rPr>
        <w:t xml:space="preserve"> bir “Avrupa Pazarı” olarak düşünülen Avrupa Tek/İç Pazarının gerçekleştirilmesi için gerekli hukuksal, kurumsal ve siyasal dayanaklar oluşturuldu ve Avrupa bütünleşmesine yeni bir ivme kazandırılmış oldu.</w:t>
      </w:r>
    </w:p>
    <w:p w:rsidR="006C03C8" w:rsidRPr="006C03C8" w:rsidRDefault="006C03C8" w:rsidP="006C03C8">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6C03C8">
        <w:rPr>
          <w:rFonts w:ascii="Times New Roman" w:eastAsia="Times New Roman" w:hAnsi="Times New Roman" w:cs="Times New Roman"/>
          <w:b/>
          <w:sz w:val="24"/>
          <w:szCs w:val="24"/>
          <w:lang w:eastAsia="tr-TR"/>
        </w:rPr>
        <w:t>Maastricht Antlaşması</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1992 yılında imzalanan ve 1993 yılında yürürlüğe giren Maastricht Antlaşması </w:t>
      </w:r>
      <w:proofErr w:type="gramStart"/>
      <w:r w:rsidRPr="006C03C8">
        <w:rPr>
          <w:rFonts w:ascii="Times New Roman" w:eastAsia="Times New Roman" w:hAnsi="Times New Roman" w:cs="Times New Roman"/>
          <w:sz w:val="24"/>
          <w:szCs w:val="24"/>
          <w:lang w:eastAsia="tr-TR"/>
        </w:rPr>
        <w:t>ile,</w:t>
      </w:r>
      <w:proofErr w:type="gramEnd"/>
      <w:r w:rsidRPr="006C03C8">
        <w:rPr>
          <w:rFonts w:ascii="Times New Roman" w:eastAsia="Times New Roman" w:hAnsi="Times New Roman" w:cs="Times New Roman"/>
          <w:sz w:val="24"/>
          <w:szCs w:val="24"/>
          <w:lang w:eastAsia="tr-TR"/>
        </w:rPr>
        <w:t xml:space="preserve"> tek bir para birimi ve üst düzeyde eşgüdümü sağlanan ekonomi politikaları çerçevesinde oluşacak bir Ekonomik ve Parasal Birliğin yanına, Ortak Dışişleri ve Güvenlik Politikası (ODGP) ve </w:t>
      </w:r>
      <w:r w:rsidRPr="006C03C8">
        <w:rPr>
          <w:rFonts w:ascii="Times New Roman" w:eastAsia="Times New Roman" w:hAnsi="Times New Roman" w:cs="Times New Roman"/>
          <w:sz w:val="24"/>
          <w:szCs w:val="24"/>
          <w:lang w:eastAsia="tr-TR"/>
        </w:rPr>
        <w:lastRenderedPageBreak/>
        <w:t xml:space="preserve">Adalet ve İçişleri Alanlarında İşbirliği’nin (Aİİ) de eklenmesi ile, Avrupa bütünleşmesi, 1950’li yılların başından itibaren en büyük atılımını gerçekleştirerek Avrupa Birliği’ni oluşturdu. Böylece, ekonomik </w:t>
      </w:r>
      <w:proofErr w:type="gramStart"/>
      <w:r w:rsidRPr="006C03C8">
        <w:rPr>
          <w:rFonts w:ascii="Times New Roman" w:eastAsia="Times New Roman" w:hAnsi="Times New Roman" w:cs="Times New Roman"/>
          <w:sz w:val="24"/>
          <w:szCs w:val="24"/>
          <w:lang w:eastAsia="tr-TR"/>
        </w:rPr>
        <w:t>entegrasyonun</w:t>
      </w:r>
      <w:proofErr w:type="gramEnd"/>
      <w:r w:rsidRPr="006C03C8">
        <w:rPr>
          <w:rFonts w:ascii="Times New Roman" w:eastAsia="Times New Roman" w:hAnsi="Times New Roman" w:cs="Times New Roman"/>
          <w:sz w:val="24"/>
          <w:szCs w:val="24"/>
          <w:lang w:eastAsia="tr-TR"/>
        </w:rPr>
        <w:t xml:space="preserve"> yanına siyasal birlik hedefi de eklenmiş oluyordu.</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Maastricht Antlaşması ile bir yandan Avrupa Birliği kuruluyor ve ODGP ile AAİ şeklinde iki yeni ve siyasi nitelikli sütun bütünleşme kapsamına </w:t>
      </w:r>
      <w:proofErr w:type="gramStart"/>
      <w:r w:rsidRPr="006C03C8">
        <w:rPr>
          <w:rFonts w:ascii="Times New Roman" w:eastAsia="Times New Roman" w:hAnsi="Times New Roman" w:cs="Times New Roman"/>
          <w:sz w:val="24"/>
          <w:szCs w:val="24"/>
          <w:lang w:eastAsia="tr-TR"/>
        </w:rPr>
        <w:t>dahil</w:t>
      </w:r>
      <w:proofErr w:type="gramEnd"/>
      <w:r w:rsidRPr="006C03C8">
        <w:rPr>
          <w:rFonts w:ascii="Times New Roman" w:eastAsia="Times New Roman" w:hAnsi="Times New Roman" w:cs="Times New Roman"/>
          <w:sz w:val="24"/>
          <w:szCs w:val="24"/>
          <w:lang w:eastAsia="tr-TR"/>
        </w:rPr>
        <w:t xml:space="preserve"> ediliyor, öte yandan da AKÇT, </w:t>
      </w:r>
      <w:proofErr w:type="spellStart"/>
      <w:r w:rsidRPr="006C03C8">
        <w:rPr>
          <w:rFonts w:ascii="Times New Roman" w:eastAsia="Times New Roman" w:hAnsi="Times New Roman" w:cs="Times New Roman"/>
          <w:sz w:val="24"/>
          <w:szCs w:val="24"/>
          <w:lang w:eastAsia="tr-TR"/>
        </w:rPr>
        <w:t>Euratom</w:t>
      </w:r>
      <w:proofErr w:type="spellEnd"/>
      <w:r w:rsidRPr="006C03C8">
        <w:rPr>
          <w:rFonts w:ascii="Times New Roman" w:eastAsia="Times New Roman" w:hAnsi="Times New Roman" w:cs="Times New Roman"/>
          <w:sz w:val="24"/>
          <w:szCs w:val="24"/>
          <w:lang w:eastAsia="tr-TR"/>
        </w:rPr>
        <w:t xml:space="preserve"> ve A(E)T’den oluşan ve birinci sütun olarak varlığını devam ettiren ekonomik bütünleşme alanında ve bu kurucu antlaşmalarda değişikliğe gidiliyordu. Böylece, Maastricht Antlaşması ile mevcut kurumsal yapı üzerinde değişikliklere gidiliyor, bunun yanında bütünleşmenin etkinlik alanları kapsamına, ekonomik ve sosyal uyum, kamu sağlığı (genel sağlık), tüketicinin korunması, kültür, eğitim, Trans-Avrupa ağları gibi yeni bazı alanlar </w:t>
      </w:r>
      <w:proofErr w:type="gramStart"/>
      <w:r w:rsidRPr="006C03C8">
        <w:rPr>
          <w:rFonts w:ascii="Times New Roman" w:eastAsia="Times New Roman" w:hAnsi="Times New Roman" w:cs="Times New Roman"/>
          <w:sz w:val="24"/>
          <w:szCs w:val="24"/>
          <w:lang w:eastAsia="tr-TR"/>
        </w:rPr>
        <w:t>dahil</w:t>
      </w:r>
      <w:proofErr w:type="gramEnd"/>
      <w:r w:rsidRPr="006C03C8">
        <w:rPr>
          <w:rFonts w:ascii="Times New Roman" w:eastAsia="Times New Roman" w:hAnsi="Times New Roman" w:cs="Times New Roman"/>
          <w:sz w:val="24"/>
          <w:szCs w:val="24"/>
          <w:lang w:eastAsia="tr-TR"/>
        </w:rPr>
        <w:t xml:space="preserve"> edilirken, mevcut bazı politika alanları da güçlendiriliyordu. Avrupa bütünleşmesi, böylece yeni ve önemli bir derinleşme aşamasını gerçekleştiriyordu.</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Kurumsal yapı konusundaki değişikliklerin en önemlilerinden biri Avrupa Parlamentosuna bazı alanlarda Bakanlar Konseyi ile birlikte karar alma mekanizmasına eşit ağırlıkta katılma olanağı sağlayan ortak karar usulünün getirilmesi oldu. Bundan başka Parlamento Komisyonun atanmasına da güvenoyu verme yetkisine kavuşturuldu. Yine Bakanlar Konseyinde nitelikli oy çokluğu ile karara bağlanan alanların sayısı da arttırılıyordu. Tek para konusunda sorumlu ve yetkili olacak bir Avrupa Merkez Bankası, bir Bölgeler Komitesi ve bir Avrupa Ombudsmanı da Maastricht Antlaşması ile bütünleşme hareketinin kurumsal yapısına </w:t>
      </w:r>
      <w:proofErr w:type="gramStart"/>
      <w:r w:rsidRPr="006C03C8">
        <w:rPr>
          <w:rFonts w:ascii="Times New Roman" w:eastAsia="Times New Roman" w:hAnsi="Times New Roman" w:cs="Times New Roman"/>
          <w:sz w:val="24"/>
          <w:szCs w:val="24"/>
          <w:lang w:eastAsia="tr-TR"/>
        </w:rPr>
        <w:t>dahil</w:t>
      </w:r>
      <w:proofErr w:type="gramEnd"/>
      <w:r w:rsidRPr="006C03C8">
        <w:rPr>
          <w:rFonts w:ascii="Times New Roman" w:eastAsia="Times New Roman" w:hAnsi="Times New Roman" w:cs="Times New Roman"/>
          <w:sz w:val="24"/>
          <w:szCs w:val="24"/>
          <w:lang w:eastAsia="tr-TR"/>
        </w:rPr>
        <w:t xml:space="preserve"> ediliyordu.</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Bundan başka, Maastricht Antlaşması ile kurucu antlaşmalara kazandırılan katmanlı yetki ilkesi uyarınca, bir konu hangi düzeyde -AB, üye devletler ya da yerel düzeyde- en etkili ve verimli şekilde ele alınabilecekse gerekli eylemlerin o düzeyde gerçekleştirilmesi gerekecekti. Herhangi bir konunun tek başına üye devletler tarafından çözülemediği durumlarda veya toplu olarak girişimde bulunmanın daha verimli etkiler doğurmasının mümkün olması halinde, ilgili konuda AB tarafından harekete geçilecekti. Buna karşılık, bir konuda ülkesel veya bölgesel düzeyde daha etkili sonuçlar alınması söz konusuysa girişimlerin bu düzeyde gerçekleştirilmesi gerekecek; her halükarda vatandaşa en yakın düzeyde girişimde bulunulmasına özen gösterilecekti. Bu şekilde Avrupa Birliği’nin yetkilerinin artışına da bir ölçüde sınırlama getirilerek üye devletlerin bu konudaki hassasiyetleri dikkate alınmış oluyordu.</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proofErr w:type="gramStart"/>
      <w:r w:rsidRPr="006C03C8">
        <w:rPr>
          <w:rFonts w:ascii="Times New Roman" w:eastAsia="Times New Roman" w:hAnsi="Times New Roman" w:cs="Times New Roman"/>
          <w:sz w:val="24"/>
          <w:szCs w:val="24"/>
          <w:lang w:eastAsia="tr-TR"/>
        </w:rPr>
        <w:t xml:space="preserve">Maastricht Antlaşması ile ayrıca “Avrupa Vatandaşlığı” kavramı getirilerek üye devlet vatandaşlarının aynı zamanda Avrupa vatandaşı statüsünü haiz olacakları ve birbirlerinin ülkesinde serbestçe dolaşma, oturma, Avrupa Parlamentosu seçimlerinde seçmen ya da aday olma, aynı şekilde yerel seçimlerde seçmen ya da aday olma, üçüncü ülkelerde birbirlerinin konsolosluklarından diplomatik koruma talep etme, Avrupa Ombudsmanına başvurma ve dilekçe hakkı gibi haklardan yararlanacakları öngörülüyordu. </w:t>
      </w:r>
      <w:proofErr w:type="gramEnd"/>
      <w:r w:rsidRPr="006C03C8">
        <w:rPr>
          <w:rFonts w:ascii="Times New Roman" w:eastAsia="Times New Roman" w:hAnsi="Times New Roman" w:cs="Times New Roman"/>
          <w:sz w:val="24"/>
          <w:szCs w:val="24"/>
          <w:lang w:eastAsia="tr-TR"/>
        </w:rPr>
        <w:t xml:space="preserve">Böylece bir siyasi yapı olarak ortaya çıkmaya başlayan Avrupa Birliği, kendisi ile vatandaşı arasında hukuki ve siyasi bir bağ kurarak aidiyet ve sadakat bağını güçlendirme yönünde bir adım atmış oluyordu. </w:t>
      </w:r>
    </w:p>
    <w:p w:rsidR="006C03C8" w:rsidRPr="006C03C8" w:rsidRDefault="006C03C8" w:rsidP="006C03C8">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6C03C8">
        <w:rPr>
          <w:rFonts w:ascii="Times New Roman" w:eastAsia="Times New Roman" w:hAnsi="Times New Roman" w:cs="Times New Roman"/>
          <w:b/>
          <w:sz w:val="24"/>
          <w:szCs w:val="24"/>
          <w:lang w:eastAsia="tr-TR"/>
        </w:rPr>
        <w:t>Amsterdam Antlaşması</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16-17 Haziran 1997 tarihinde gerçekleştirilen Amsterdam Zirvesi </w:t>
      </w:r>
      <w:proofErr w:type="gramStart"/>
      <w:r w:rsidRPr="006C03C8">
        <w:rPr>
          <w:rFonts w:ascii="Times New Roman" w:eastAsia="Times New Roman" w:hAnsi="Times New Roman" w:cs="Times New Roman"/>
          <w:sz w:val="24"/>
          <w:szCs w:val="24"/>
          <w:lang w:eastAsia="tr-TR"/>
        </w:rPr>
        <w:t>ile,</w:t>
      </w:r>
      <w:proofErr w:type="gramEnd"/>
      <w:r w:rsidRPr="006C03C8">
        <w:rPr>
          <w:rFonts w:ascii="Times New Roman" w:eastAsia="Times New Roman" w:hAnsi="Times New Roman" w:cs="Times New Roman"/>
          <w:sz w:val="24"/>
          <w:szCs w:val="24"/>
          <w:lang w:eastAsia="tr-TR"/>
        </w:rPr>
        <w:t xml:space="preserve"> </w:t>
      </w:r>
      <w:proofErr w:type="spellStart"/>
      <w:r w:rsidRPr="006C03C8">
        <w:rPr>
          <w:rFonts w:ascii="Times New Roman" w:eastAsia="Times New Roman" w:hAnsi="Times New Roman" w:cs="Times New Roman"/>
          <w:sz w:val="24"/>
          <w:szCs w:val="24"/>
          <w:lang w:eastAsia="tr-TR"/>
        </w:rPr>
        <w:t>Hükümetlerarası</w:t>
      </w:r>
      <w:proofErr w:type="spellEnd"/>
      <w:r w:rsidRPr="006C03C8">
        <w:rPr>
          <w:rFonts w:ascii="Times New Roman" w:eastAsia="Times New Roman" w:hAnsi="Times New Roman" w:cs="Times New Roman"/>
          <w:sz w:val="24"/>
          <w:szCs w:val="24"/>
          <w:lang w:eastAsia="tr-TR"/>
        </w:rPr>
        <w:t xml:space="preserve"> Konferans sonucunda hazırlanan kurucu antlaşma değişiklikleri onaylanıyordu. Aslında, Avrupa Birliği’ni 2000’li yıllara ve yeni genişleme sürecine hazırlama iddiası ile başlatılan </w:t>
      </w:r>
      <w:r w:rsidRPr="006C03C8">
        <w:rPr>
          <w:rFonts w:ascii="Times New Roman" w:eastAsia="Times New Roman" w:hAnsi="Times New Roman" w:cs="Times New Roman"/>
          <w:sz w:val="24"/>
          <w:szCs w:val="24"/>
          <w:lang w:eastAsia="tr-TR"/>
        </w:rPr>
        <w:lastRenderedPageBreak/>
        <w:t xml:space="preserve">kurucu antlaşma değişikliği çalışmaları mütevazı bir sonuç doğurmuştu. Bu çerçevede, AB’nin yetkisine bırakılan politika alanlarında bir miktar artışın yanı sıra (özellikle istihdam alanında), kurumsal yapıda da ufak çaplı bazı değişikliklere gidildi. Ayrıca, kurucu antlaşmalarda çeşitli zamanlarda yapılan değişiklikler de bir araya getirilip yeniden </w:t>
      </w:r>
      <w:proofErr w:type="spellStart"/>
      <w:r w:rsidRPr="006C03C8">
        <w:rPr>
          <w:rFonts w:ascii="Times New Roman" w:eastAsia="Times New Roman" w:hAnsi="Times New Roman" w:cs="Times New Roman"/>
          <w:sz w:val="24"/>
          <w:szCs w:val="24"/>
          <w:lang w:eastAsia="tr-TR"/>
        </w:rPr>
        <w:t>maddelendirilerek</w:t>
      </w:r>
      <w:proofErr w:type="spellEnd"/>
      <w:r w:rsidRPr="006C03C8">
        <w:rPr>
          <w:rFonts w:ascii="Times New Roman" w:eastAsia="Times New Roman" w:hAnsi="Times New Roman" w:cs="Times New Roman"/>
          <w:sz w:val="24"/>
          <w:szCs w:val="24"/>
          <w:lang w:eastAsia="tr-TR"/>
        </w:rPr>
        <w:t xml:space="preserve"> ve geçersiz hale gelen süresi dolmuş hükümler ayıklanarak antlaşmaların </w:t>
      </w:r>
      <w:proofErr w:type="gramStart"/>
      <w:r w:rsidRPr="006C03C8">
        <w:rPr>
          <w:rFonts w:ascii="Times New Roman" w:eastAsia="Times New Roman" w:hAnsi="Times New Roman" w:cs="Times New Roman"/>
          <w:sz w:val="24"/>
          <w:szCs w:val="24"/>
          <w:lang w:eastAsia="tr-TR"/>
        </w:rPr>
        <w:t>konsolidasyonu</w:t>
      </w:r>
      <w:proofErr w:type="gramEnd"/>
      <w:r w:rsidRPr="006C03C8">
        <w:rPr>
          <w:rFonts w:ascii="Times New Roman" w:eastAsia="Times New Roman" w:hAnsi="Times New Roman" w:cs="Times New Roman"/>
          <w:sz w:val="24"/>
          <w:szCs w:val="24"/>
          <w:lang w:eastAsia="tr-TR"/>
        </w:rPr>
        <w:t xml:space="preserve"> sağlandı.</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Ancak, bir önceki derinleşme hareketi olan Maastricht Antlaşması ile karşılaştırıldığında, özellikle yeni genişleme dalgasının boyutu karşısında zorunlu kabul edilen kurumsal yapı değişikliklerini ve karar alma mekanizmalarında gerekli reformları gerçekleştirmek bu defa mümkün olmamıştı.</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Güçlendirilmiş işbirliği ya da esneklik ilkesinin kurucu antlaşmalara </w:t>
      </w:r>
      <w:proofErr w:type="gramStart"/>
      <w:r w:rsidRPr="006C03C8">
        <w:rPr>
          <w:rFonts w:ascii="Times New Roman" w:eastAsia="Times New Roman" w:hAnsi="Times New Roman" w:cs="Times New Roman"/>
          <w:sz w:val="24"/>
          <w:szCs w:val="24"/>
          <w:lang w:eastAsia="tr-TR"/>
        </w:rPr>
        <w:t>dahil</w:t>
      </w:r>
      <w:proofErr w:type="gramEnd"/>
      <w:r w:rsidRPr="006C03C8">
        <w:rPr>
          <w:rFonts w:ascii="Times New Roman" w:eastAsia="Times New Roman" w:hAnsi="Times New Roman" w:cs="Times New Roman"/>
          <w:sz w:val="24"/>
          <w:szCs w:val="24"/>
          <w:lang w:eastAsia="tr-TR"/>
        </w:rPr>
        <w:t xml:space="preserve"> edilmesi, Adalet ve İçişleri Alanında İşbirliği konusunun bazı veçhelerinin (vize, göç, sığınma ve kişilerin serbest dolaşımı) Avrupa Topluluğu Antlaşmasına geçirilmesi ve Birliğin bir “özgürlük, güvenlik ve adalet alanı” olarak yapılanması hedefinin ve </w:t>
      </w:r>
      <w:proofErr w:type="spellStart"/>
      <w:r w:rsidRPr="006C03C8">
        <w:rPr>
          <w:rFonts w:ascii="Times New Roman" w:eastAsia="Times New Roman" w:hAnsi="Times New Roman" w:cs="Times New Roman"/>
          <w:sz w:val="24"/>
          <w:szCs w:val="24"/>
          <w:lang w:eastAsia="tr-TR"/>
        </w:rPr>
        <w:t>Schengen</w:t>
      </w:r>
      <w:proofErr w:type="spellEnd"/>
      <w:r w:rsidRPr="006C03C8">
        <w:rPr>
          <w:rFonts w:ascii="Times New Roman" w:eastAsia="Times New Roman" w:hAnsi="Times New Roman" w:cs="Times New Roman"/>
          <w:sz w:val="24"/>
          <w:szCs w:val="24"/>
          <w:lang w:eastAsia="tr-TR"/>
        </w:rPr>
        <w:t xml:space="preserve"> Protokol’ünün Antlaşmalara eklenmesi, üçüncü sütunun adının “Cezai Konularda Polis ve Adli İşbirliği” olarak değiştirilmesi, istihdam politikalarının koordinasyonu alanında atılan adımlar ve Ortak Dış Politika ve Güvenlik Politikasının etkililiğini arttırma yolundaki çabalar, Amsterdam Antlaşmasının belli başlı unsurları oldu.</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Bundan başka Birliğin üzerine inşa edildiği temel değerler olan özgürlük, demokrasi, insan haklarına saygı ve hukukun üstünlüğü ilkeleri ilk defa AB Antlaşmasının 6. maddesinde ifade edilerek Birliğin bir siyasi yapı olarak niteliğine dair bir hüküm antlaşmalara geçirilmiş oldu. AB Antlaşmasının 7. maddesinde ise bu değerleri sürekli ve ağır şekilde ihlal edilen üye devletlerin üyelik haklarının askıya alınması ile ilgili bir mekanizma öngörüldü. </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Ayrıca Avrupa Parlamentosu ile Ulusal Parlamentoların ilişkilerinin düzenlenmesine yönelik bir Protokol ile Katmanlı Yetki (</w:t>
      </w:r>
      <w:proofErr w:type="spellStart"/>
      <w:r w:rsidRPr="006C03C8">
        <w:rPr>
          <w:rFonts w:ascii="Times New Roman" w:eastAsia="Times New Roman" w:hAnsi="Times New Roman" w:cs="Times New Roman"/>
          <w:sz w:val="24"/>
          <w:szCs w:val="24"/>
          <w:lang w:eastAsia="tr-TR"/>
        </w:rPr>
        <w:t>subsidiarite</w:t>
      </w:r>
      <w:proofErr w:type="spellEnd"/>
      <w:r w:rsidRPr="006C03C8">
        <w:rPr>
          <w:rFonts w:ascii="Times New Roman" w:eastAsia="Times New Roman" w:hAnsi="Times New Roman" w:cs="Times New Roman"/>
          <w:sz w:val="24"/>
          <w:szCs w:val="24"/>
          <w:lang w:eastAsia="tr-TR"/>
        </w:rPr>
        <w:t>) ve Orantılılık İlkelerinin Uygulanmasına dair bir Protokol de antlaşmalara eklendi.</w:t>
      </w:r>
    </w:p>
    <w:p w:rsidR="006C03C8" w:rsidRPr="006C03C8" w:rsidRDefault="006C03C8" w:rsidP="006C03C8">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6C03C8">
        <w:rPr>
          <w:rFonts w:ascii="Times New Roman" w:eastAsia="Times New Roman" w:hAnsi="Times New Roman" w:cs="Times New Roman"/>
          <w:b/>
          <w:sz w:val="24"/>
          <w:szCs w:val="24"/>
          <w:lang w:eastAsia="tr-TR"/>
        </w:rPr>
        <w:t>Nice Antlaşması</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Avrupa Birliği Hükümet ve Devlet Başkanları, 8-10 Aralık 2000 tarihlerinde Nice’te toplandı ve kurucu antlaşmalarda önemli değişiklikler öngören Nice Antlaşması metni üzerinde uzlaştılar. 2001 Şubatında nihai olarak imzalanan, tüm diğer kurucu antlaşmalar ve tadil antlaşmaları gibi üye devletlerin kendi anayasal </w:t>
      </w:r>
      <w:proofErr w:type="gramStart"/>
      <w:r w:rsidRPr="006C03C8">
        <w:rPr>
          <w:rFonts w:ascii="Times New Roman" w:eastAsia="Times New Roman" w:hAnsi="Times New Roman" w:cs="Times New Roman"/>
          <w:sz w:val="24"/>
          <w:szCs w:val="24"/>
          <w:lang w:eastAsia="tr-TR"/>
        </w:rPr>
        <w:t>prosedürleri</w:t>
      </w:r>
      <w:proofErr w:type="gramEnd"/>
      <w:r w:rsidRPr="006C03C8">
        <w:rPr>
          <w:rFonts w:ascii="Times New Roman" w:eastAsia="Times New Roman" w:hAnsi="Times New Roman" w:cs="Times New Roman"/>
          <w:sz w:val="24"/>
          <w:szCs w:val="24"/>
          <w:lang w:eastAsia="tr-TR"/>
        </w:rPr>
        <w:t xml:space="preserve"> uyarınca onaylanarak 2003 yılından itibaren yürürlüğe giren bu yeni antlaşma değişikliği, temelde yeni genişleme dalgasını karşılayabilmek ve AB’nin etkili biçimde işlemesini sağlamak için gerekli kurumsal reformları öngörüyor, AB kurumlarının üye sayıları ve yapıları üzerinde değişiklikler getiriyordu. </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proofErr w:type="gramStart"/>
      <w:r w:rsidRPr="006C03C8">
        <w:rPr>
          <w:rFonts w:ascii="Times New Roman" w:eastAsia="Times New Roman" w:hAnsi="Times New Roman" w:cs="Times New Roman"/>
          <w:sz w:val="24"/>
          <w:szCs w:val="24"/>
          <w:lang w:eastAsia="tr-TR"/>
        </w:rPr>
        <w:t xml:space="preserve">Asli yapısal kurumlar olan Avrupa Parlamentosu, AB Bakanlar Konseyi, Avrupa Komisyonu, Avrupa Toplulukları Adalet Divanı, Avrupa </w:t>
      </w:r>
      <w:proofErr w:type="spellStart"/>
      <w:r w:rsidRPr="006C03C8">
        <w:rPr>
          <w:rFonts w:ascii="Times New Roman" w:eastAsia="Times New Roman" w:hAnsi="Times New Roman" w:cs="Times New Roman"/>
          <w:sz w:val="24"/>
          <w:szCs w:val="24"/>
          <w:lang w:eastAsia="tr-TR"/>
        </w:rPr>
        <w:t>Sayıştayı</w:t>
      </w:r>
      <w:proofErr w:type="spellEnd"/>
      <w:r w:rsidRPr="006C03C8">
        <w:rPr>
          <w:rFonts w:ascii="Times New Roman" w:eastAsia="Times New Roman" w:hAnsi="Times New Roman" w:cs="Times New Roman"/>
          <w:sz w:val="24"/>
          <w:szCs w:val="24"/>
          <w:lang w:eastAsia="tr-TR"/>
        </w:rPr>
        <w:t xml:space="preserve"> ve işlevsel kurumlar arasında yer alan Ekonomik Sosyal Komite, Bölgeler Komitesi gibi organların üye sayıları, genişleme dikkate alınarak yeniden düzenleniyor; Antlaşmaya ekli “Avrupa Birliği’nin Genişlemesine İlişkin Protokol” ise, kurumsal yapı üzerinde değişiklikleri genişleme sonrası bakımından yürürlüğe giriş tarihleri ile birlikte içeriyordu. </w:t>
      </w:r>
      <w:proofErr w:type="gramEnd"/>
      <w:r w:rsidRPr="006C03C8">
        <w:rPr>
          <w:rFonts w:ascii="Times New Roman" w:eastAsia="Times New Roman" w:hAnsi="Times New Roman" w:cs="Times New Roman"/>
          <w:sz w:val="24"/>
          <w:szCs w:val="24"/>
          <w:lang w:eastAsia="tr-TR"/>
        </w:rPr>
        <w:t xml:space="preserve">Burada, ayrıca, 2010 yılına kadar Avrupa Birliği kurumsal yapısının alacağı şekil üzerinde bir </w:t>
      </w:r>
      <w:proofErr w:type="gramStart"/>
      <w:r w:rsidRPr="006C03C8">
        <w:rPr>
          <w:rFonts w:ascii="Times New Roman" w:eastAsia="Times New Roman" w:hAnsi="Times New Roman" w:cs="Times New Roman"/>
          <w:sz w:val="24"/>
          <w:szCs w:val="24"/>
          <w:lang w:eastAsia="tr-TR"/>
        </w:rPr>
        <w:t>projeksiyona</w:t>
      </w:r>
      <w:proofErr w:type="gramEnd"/>
      <w:r w:rsidRPr="006C03C8">
        <w:rPr>
          <w:rFonts w:ascii="Times New Roman" w:eastAsia="Times New Roman" w:hAnsi="Times New Roman" w:cs="Times New Roman"/>
          <w:sz w:val="24"/>
          <w:szCs w:val="24"/>
          <w:lang w:eastAsia="tr-TR"/>
        </w:rPr>
        <w:t xml:space="preserve"> yer veriliyor; Türkiye hariç diğer aday devletlerin de katılımı ile 27 üyeli bir AB için Avrupa Parlamentosu, </w:t>
      </w:r>
      <w:r w:rsidRPr="006C03C8">
        <w:rPr>
          <w:rFonts w:ascii="Times New Roman" w:eastAsia="Times New Roman" w:hAnsi="Times New Roman" w:cs="Times New Roman"/>
          <w:sz w:val="24"/>
          <w:szCs w:val="24"/>
          <w:lang w:eastAsia="tr-TR"/>
        </w:rPr>
        <w:lastRenderedPageBreak/>
        <w:t>AB Bakanlar Konseyi, Avrupa Komisyonu vs. üye sayıları öngörülüyordu. Burada, özellikle, nitelikli oy çokluğu yönteminde ülkelerin sahip olduğu nitelikli oy oranları üzerinde bir değişime gidildiği ve büyük devletlerin etkisini arttırıcı bir yaklaşımın benimsendiği görülmekteydi.</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proofErr w:type="gramStart"/>
      <w:r w:rsidRPr="006C03C8">
        <w:rPr>
          <w:rFonts w:ascii="Times New Roman" w:eastAsia="Times New Roman" w:hAnsi="Times New Roman" w:cs="Times New Roman"/>
          <w:sz w:val="24"/>
          <w:szCs w:val="24"/>
          <w:lang w:eastAsia="tr-TR"/>
        </w:rPr>
        <w:t xml:space="preserve">Söz konusu reformlar arasında, Amsterdam Antlaşması ile getirilen “güçlendirilmiş işbirliği” ilkesi ile ilgili düzenlemelere, AB vatandaşlarının oturma ve seyahat hakları ile ilgili düzenlemelere, ayrımcılığın kaldırılması, temel haklar, vize, sığınma hakkı ve göç konularında, Avrupa Merkez Bankasının statüsünde, ortak ticaret politikası ve sosyal hükümlerde, çevre politikasında, üçüncü ülkelerle ekonomik, mali ve teknik işbirliği ilişkilerinde, Ortak Güvenlik ve Savunma Politikasında ve Adalet ve İçişleri Alanında İşbirliği konularında bazı değişikliklere ve yeniliklere yer verilmekteydi. </w:t>
      </w:r>
      <w:proofErr w:type="gramEnd"/>
      <w:r w:rsidRPr="006C03C8">
        <w:rPr>
          <w:rFonts w:ascii="Times New Roman" w:eastAsia="Times New Roman" w:hAnsi="Times New Roman" w:cs="Times New Roman"/>
          <w:sz w:val="24"/>
          <w:szCs w:val="24"/>
          <w:lang w:eastAsia="tr-TR"/>
        </w:rPr>
        <w:t xml:space="preserve">Avrupa Birliğinin yargı organları ve bunların Statüleri ile Usul Kuralları da Nice Antlaşması ile önemli ölçüde değiştirilerek reforma tabi tutuluyordu. </w:t>
      </w:r>
    </w:p>
    <w:p w:rsidR="006C03C8" w:rsidRPr="006C03C8" w:rsidRDefault="006C03C8" w:rsidP="006C03C8">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Bundan başka, Nice Zirvesinde bir “Avrupa Birliği Temel Haklar Şartı” hazırlanarak AB kurumları tarafından imzalandı ve ilan edildi. </w:t>
      </w:r>
      <w:proofErr w:type="gramStart"/>
      <w:r w:rsidRPr="006C03C8">
        <w:rPr>
          <w:rFonts w:ascii="Times New Roman" w:eastAsia="Times New Roman" w:hAnsi="Times New Roman" w:cs="Times New Roman"/>
          <w:sz w:val="24"/>
          <w:szCs w:val="24"/>
          <w:lang w:eastAsia="tr-TR"/>
        </w:rPr>
        <w:t xml:space="preserve">Hukuki niteliği ve bağlayıcılığı şu an için belirsiz olan bu belge, daha çok bir niyet beyanı görünümündeydi ve üye devletlerin ve bazı organlarının AB müktesebatı içinde belirli bir temel haklar </w:t>
      </w:r>
      <w:proofErr w:type="spellStart"/>
      <w:r w:rsidRPr="006C03C8">
        <w:rPr>
          <w:rFonts w:ascii="Times New Roman" w:eastAsia="Times New Roman" w:hAnsi="Times New Roman" w:cs="Times New Roman"/>
          <w:sz w:val="24"/>
          <w:szCs w:val="24"/>
          <w:lang w:eastAsia="tr-TR"/>
        </w:rPr>
        <w:t>katalogu</w:t>
      </w:r>
      <w:proofErr w:type="spellEnd"/>
      <w:r w:rsidRPr="006C03C8">
        <w:rPr>
          <w:rFonts w:ascii="Times New Roman" w:eastAsia="Times New Roman" w:hAnsi="Times New Roman" w:cs="Times New Roman"/>
          <w:sz w:val="24"/>
          <w:szCs w:val="24"/>
          <w:lang w:eastAsia="tr-TR"/>
        </w:rPr>
        <w:t xml:space="preserve"> bulunmayışından kaynaklanan rahatsızlıklarını bir ölçüde de olsa ortadan kaldırma, kurucu antlaşmaların anayasallaşma sürecinde ve böylece siyasi birliğe dönüşme yolunda yeni bir adım oluşturma hedeflerine yönelikti.</w:t>
      </w:r>
      <w:proofErr w:type="gramEnd"/>
    </w:p>
    <w:p w:rsidR="006C03C8" w:rsidRPr="006C03C8" w:rsidRDefault="006C03C8" w:rsidP="006C03C8">
      <w:pPr>
        <w:keepNext/>
        <w:spacing w:before="100" w:beforeAutospacing="1" w:after="100" w:afterAutospacing="1" w:line="240" w:lineRule="auto"/>
        <w:ind w:firstLine="397"/>
        <w:jc w:val="both"/>
        <w:rPr>
          <w:rFonts w:ascii="Times New Roman" w:eastAsia="Times New Roman" w:hAnsi="Times New Roman" w:cs="Times New Roman"/>
          <w:b/>
          <w:sz w:val="24"/>
          <w:szCs w:val="24"/>
          <w:lang w:eastAsia="tr-TR"/>
        </w:rPr>
      </w:pPr>
      <w:bookmarkStart w:id="1" w:name="_Toc496626927"/>
      <w:r w:rsidRPr="006C03C8">
        <w:rPr>
          <w:rFonts w:ascii="Times New Roman" w:eastAsia="Times New Roman" w:hAnsi="Times New Roman" w:cs="Times New Roman"/>
          <w:b/>
          <w:sz w:val="24"/>
          <w:szCs w:val="24"/>
          <w:lang w:eastAsia="tr-TR"/>
        </w:rPr>
        <w:t xml:space="preserve">Tablo </w:t>
      </w:r>
      <w:r w:rsidRPr="006C03C8">
        <w:rPr>
          <w:rFonts w:ascii="Times New Roman" w:eastAsia="Times New Roman" w:hAnsi="Times New Roman" w:cs="Times New Roman"/>
          <w:b/>
          <w:sz w:val="24"/>
          <w:szCs w:val="24"/>
          <w:lang w:eastAsia="tr-TR"/>
        </w:rPr>
        <w:fldChar w:fldCharType="begin"/>
      </w:r>
      <w:r w:rsidRPr="006C03C8">
        <w:rPr>
          <w:rFonts w:ascii="Times New Roman" w:eastAsia="Times New Roman" w:hAnsi="Times New Roman" w:cs="Times New Roman"/>
          <w:b/>
          <w:sz w:val="24"/>
          <w:szCs w:val="24"/>
          <w:lang w:eastAsia="tr-TR"/>
        </w:rPr>
        <w:instrText xml:space="preserve"> SEQ Tablo \* ARABIC </w:instrText>
      </w:r>
      <w:r w:rsidRPr="006C03C8">
        <w:rPr>
          <w:rFonts w:ascii="Times New Roman" w:eastAsia="Times New Roman" w:hAnsi="Times New Roman" w:cs="Times New Roman"/>
          <w:b/>
          <w:sz w:val="24"/>
          <w:szCs w:val="24"/>
          <w:lang w:eastAsia="tr-TR"/>
        </w:rPr>
        <w:fldChar w:fldCharType="separate"/>
      </w:r>
      <w:r w:rsidRPr="006C03C8">
        <w:rPr>
          <w:rFonts w:ascii="Times New Roman" w:eastAsia="Times New Roman" w:hAnsi="Times New Roman" w:cs="Times New Roman"/>
          <w:b/>
          <w:noProof/>
          <w:sz w:val="24"/>
          <w:szCs w:val="24"/>
          <w:lang w:eastAsia="tr-TR"/>
        </w:rPr>
        <w:t>1</w:t>
      </w:r>
      <w:r w:rsidRPr="006C03C8">
        <w:rPr>
          <w:rFonts w:ascii="Times New Roman" w:eastAsia="Times New Roman" w:hAnsi="Times New Roman" w:cs="Times New Roman"/>
          <w:b/>
          <w:noProof/>
          <w:sz w:val="24"/>
          <w:szCs w:val="24"/>
          <w:lang w:eastAsia="tr-TR"/>
        </w:rPr>
        <w:fldChar w:fldCharType="end"/>
      </w:r>
      <w:r w:rsidRPr="006C03C8">
        <w:rPr>
          <w:rFonts w:ascii="Times New Roman" w:eastAsia="Times New Roman" w:hAnsi="Times New Roman" w:cs="Times New Roman"/>
          <w:b/>
          <w:sz w:val="24"/>
          <w:szCs w:val="24"/>
          <w:lang w:eastAsia="tr-TR"/>
        </w:rPr>
        <w:t>: Avrupa Bütünleşmesinin Kuruluşu</w:t>
      </w:r>
      <w:bookmarkEnd w:id="1"/>
    </w:p>
    <w:tbl>
      <w:tblPr>
        <w:tblStyle w:val="TabloKlavuzu"/>
        <w:tblW w:w="0" w:type="auto"/>
        <w:tblLook w:val="04A0" w:firstRow="1" w:lastRow="0" w:firstColumn="1" w:lastColumn="0" w:noHBand="0" w:noVBand="1"/>
      </w:tblPr>
      <w:tblGrid>
        <w:gridCol w:w="4531"/>
        <w:gridCol w:w="4531"/>
      </w:tblGrid>
      <w:tr w:rsidR="006C03C8" w:rsidRPr="006C03C8" w:rsidTr="00143553">
        <w:trPr>
          <w:trHeight w:val="520"/>
        </w:trPr>
        <w:tc>
          <w:tcPr>
            <w:tcW w:w="4531" w:type="dxa"/>
            <w:vMerge w:val="restart"/>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b/>
                <w:sz w:val="24"/>
                <w:szCs w:val="24"/>
                <w:lang w:eastAsia="ar-SA"/>
              </w:rPr>
            </w:pPr>
            <w:r w:rsidRPr="006C03C8">
              <w:rPr>
                <w:rFonts w:ascii="Times New Roman" w:eastAsia="Times New Roman" w:hAnsi="Times New Roman" w:cs="Times New Roman"/>
                <w:b/>
                <w:sz w:val="24"/>
                <w:szCs w:val="24"/>
                <w:lang w:eastAsia="ar-SA"/>
              </w:rPr>
              <w:t>Temel Metinler</w:t>
            </w: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 xml:space="preserve">9 Mayıs 1950 Tarihli </w:t>
            </w:r>
            <w:proofErr w:type="spellStart"/>
            <w:r w:rsidRPr="006C03C8">
              <w:rPr>
                <w:rFonts w:ascii="Times New Roman" w:eastAsia="Times New Roman" w:hAnsi="Times New Roman" w:cs="Times New Roman"/>
                <w:sz w:val="24"/>
                <w:szCs w:val="24"/>
                <w:lang w:eastAsia="ar-SA"/>
              </w:rPr>
              <w:t>Schuman</w:t>
            </w:r>
            <w:proofErr w:type="spellEnd"/>
            <w:r w:rsidRPr="006C03C8">
              <w:rPr>
                <w:rFonts w:ascii="Times New Roman" w:eastAsia="Times New Roman" w:hAnsi="Times New Roman" w:cs="Times New Roman"/>
                <w:sz w:val="24"/>
                <w:szCs w:val="24"/>
                <w:lang w:eastAsia="ar-SA"/>
              </w:rPr>
              <w:t xml:space="preserve"> Bildirisi</w:t>
            </w:r>
          </w:p>
        </w:tc>
      </w:tr>
      <w:tr w:rsidR="006C03C8" w:rsidRPr="006C03C8" w:rsidTr="00143553">
        <w:trPr>
          <w:trHeight w:val="520"/>
        </w:trPr>
        <w:tc>
          <w:tcPr>
            <w:tcW w:w="4531" w:type="dxa"/>
            <w:vMerge/>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b/>
                <w:sz w:val="24"/>
                <w:szCs w:val="24"/>
                <w:lang w:eastAsia="ar-SA"/>
              </w:rPr>
            </w:pP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1951 Tarihli Avrupa Kömür ve Çelik Topluluğunu Kuran Paris Antlaşması</w:t>
            </w:r>
          </w:p>
        </w:tc>
      </w:tr>
      <w:tr w:rsidR="006C03C8" w:rsidRPr="006C03C8" w:rsidTr="00143553">
        <w:trPr>
          <w:trHeight w:val="520"/>
        </w:trPr>
        <w:tc>
          <w:tcPr>
            <w:tcW w:w="4531" w:type="dxa"/>
            <w:vMerge/>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b/>
                <w:sz w:val="24"/>
                <w:szCs w:val="24"/>
                <w:lang w:eastAsia="ar-SA"/>
              </w:rPr>
            </w:pP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1957 Tarihli Avrupa Ekonomik Topluluğunu ve Avrupa Atom Enerjisi Topluluğunu Kuran Roma Antlaşmaları</w:t>
            </w:r>
          </w:p>
        </w:tc>
      </w:tr>
      <w:tr w:rsidR="006C03C8" w:rsidRPr="006C03C8" w:rsidTr="00143553">
        <w:trPr>
          <w:trHeight w:val="540"/>
        </w:trPr>
        <w:tc>
          <w:tcPr>
            <w:tcW w:w="4531" w:type="dxa"/>
            <w:vMerge w:val="restart"/>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b/>
                <w:sz w:val="24"/>
                <w:szCs w:val="24"/>
                <w:lang w:eastAsia="ar-SA"/>
              </w:rPr>
            </w:pPr>
            <w:r w:rsidRPr="006C03C8">
              <w:rPr>
                <w:rFonts w:ascii="Times New Roman" w:eastAsia="Times New Roman" w:hAnsi="Times New Roman" w:cs="Times New Roman"/>
                <w:b/>
                <w:sz w:val="24"/>
                <w:szCs w:val="24"/>
                <w:lang w:eastAsia="ar-SA"/>
              </w:rPr>
              <w:t>AET Antlaşmasının (AETA) Genel İçeriği ve Temel Düzenleme (Politika) Alanları</w:t>
            </w: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 xml:space="preserve">Ortak Pazar: malların, işçilerin, hizmetlerin ve sermayenin üye </w:t>
            </w:r>
            <w:proofErr w:type="gramStart"/>
            <w:r w:rsidRPr="006C03C8">
              <w:rPr>
                <w:rFonts w:ascii="Times New Roman" w:eastAsia="Times New Roman" w:hAnsi="Times New Roman" w:cs="Times New Roman"/>
                <w:sz w:val="24"/>
                <w:szCs w:val="24"/>
                <w:lang w:eastAsia="ar-SA"/>
              </w:rPr>
              <w:t>devletler arasında</w:t>
            </w:r>
            <w:proofErr w:type="gramEnd"/>
            <w:r w:rsidRPr="006C03C8">
              <w:rPr>
                <w:rFonts w:ascii="Times New Roman" w:eastAsia="Times New Roman" w:hAnsi="Times New Roman" w:cs="Times New Roman"/>
                <w:sz w:val="24"/>
                <w:szCs w:val="24"/>
                <w:lang w:eastAsia="ar-SA"/>
              </w:rPr>
              <w:t xml:space="preserve"> vatandaşlığa dayalı ayrımcılığa maruz kalmadan serbest dolaşımı</w:t>
            </w:r>
          </w:p>
        </w:tc>
      </w:tr>
      <w:tr w:rsidR="006C03C8" w:rsidRPr="006C03C8" w:rsidTr="00143553">
        <w:trPr>
          <w:trHeight w:val="540"/>
        </w:trPr>
        <w:tc>
          <w:tcPr>
            <w:tcW w:w="4531" w:type="dxa"/>
            <w:vMerge/>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Ekonomik politikaların yakınlaştırılması</w:t>
            </w:r>
          </w:p>
        </w:tc>
      </w:tr>
      <w:tr w:rsidR="006C03C8" w:rsidRPr="006C03C8" w:rsidTr="00143553">
        <w:trPr>
          <w:trHeight w:val="540"/>
        </w:trPr>
        <w:tc>
          <w:tcPr>
            <w:tcW w:w="4531" w:type="dxa"/>
            <w:vMerge/>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Ortak tarım, balıkçılık, taşımacılık ve ticaret politikaları</w:t>
            </w:r>
          </w:p>
        </w:tc>
      </w:tr>
      <w:tr w:rsidR="006C03C8" w:rsidRPr="006C03C8" w:rsidTr="00143553">
        <w:trPr>
          <w:trHeight w:val="540"/>
        </w:trPr>
        <w:tc>
          <w:tcPr>
            <w:tcW w:w="4531" w:type="dxa"/>
            <w:vMerge/>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Rekabetin Korunması: karteller ve hâkim durumun kötüye kullanılmasına yönelik düzenlemeler, devlet yardımları, devlet tekelleri</w:t>
            </w:r>
          </w:p>
        </w:tc>
      </w:tr>
      <w:tr w:rsidR="006C03C8" w:rsidRPr="006C03C8" w:rsidTr="00143553">
        <w:trPr>
          <w:trHeight w:val="540"/>
        </w:trPr>
        <w:tc>
          <w:tcPr>
            <w:tcW w:w="4531" w:type="dxa"/>
            <w:vMerge/>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Ayrımcı vergilendirmenin önlenmesi</w:t>
            </w:r>
          </w:p>
        </w:tc>
      </w:tr>
      <w:tr w:rsidR="006C03C8" w:rsidRPr="006C03C8" w:rsidTr="00143553">
        <w:trPr>
          <w:trHeight w:val="540"/>
        </w:trPr>
        <w:tc>
          <w:tcPr>
            <w:tcW w:w="4531" w:type="dxa"/>
            <w:vMerge/>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Mevzuat uyumlaştırması</w:t>
            </w:r>
          </w:p>
        </w:tc>
      </w:tr>
      <w:tr w:rsidR="006C03C8" w:rsidRPr="006C03C8" w:rsidTr="00143553">
        <w:trPr>
          <w:trHeight w:val="94"/>
        </w:trPr>
        <w:tc>
          <w:tcPr>
            <w:tcW w:w="4531" w:type="dxa"/>
            <w:vMerge w:val="restart"/>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b/>
                <w:sz w:val="24"/>
                <w:szCs w:val="24"/>
                <w:lang w:eastAsia="ar-SA"/>
              </w:rPr>
            </w:pPr>
            <w:proofErr w:type="spellStart"/>
            <w:r w:rsidRPr="006C03C8">
              <w:rPr>
                <w:rFonts w:ascii="Times New Roman" w:eastAsia="Times New Roman" w:hAnsi="Times New Roman" w:cs="Times New Roman"/>
                <w:b/>
                <w:sz w:val="24"/>
                <w:szCs w:val="24"/>
                <w:lang w:eastAsia="ar-SA"/>
              </w:rPr>
              <w:t>AETA’nın</w:t>
            </w:r>
            <w:proofErr w:type="spellEnd"/>
            <w:r w:rsidRPr="006C03C8">
              <w:rPr>
                <w:rFonts w:ascii="Times New Roman" w:eastAsia="Times New Roman" w:hAnsi="Times New Roman" w:cs="Times New Roman"/>
                <w:b/>
                <w:sz w:val="24"/>
                <w:szCs w:val="24"/>
                <w:lang w:eastAsia="ar-SA"/>
              </w:rPr>
              <w:t xml:space="preserve"> Öngördüğü Kurumsal Yapı</w:t>
            </w: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 xml:space="preserve">Kendine özgü sisteme sahip olan AKÇT hariç, yürütme organı olan, tarafsız ve </w:t>
            </w:r>
            <w:r w:rsidRPr="006C03C8">
              <w:rPr>
                <w:rFonts w:ascii="Times New Roman" w:eastAsia="Times New Roman" w:hAnsi="Times New Roman" w:cs="Times New Roman"/>
                <w:sz w:val="24"/>
                <w:szCs w:val="24"/>
                <w:lang w:eastAsia="ar-SA"/>
              </w:rPr>
              <w:lastRenderedPageBreak/>
              <w:t xml:space="preserve">bağımsız </w:t>
            </w:r>
            <w:r w:rsidRPr="006C03C8">
              <w:rPr>
                <w:rFonts w:ascii="Times New Roman" w:eastAsia="Times New Roman" w:hAnsi="Times New Roman" w:cs="Times New Roman"/>
                <w:i/>
                <w:sz w:val="24"/>
                <w:szCs w:val="24"/>
                <w:lang w:eastAsia="ar-SA"/>
              </w:rPr>
              <w:t>Komisyon</w:t>
            </w:r>
            <w:r w:rsidRPr="006C03C8">
              <w:rPr>
                <w:rFonts w:ascii="Times New Roman" w:eastAsia="Times New Roman" w:hAnsi="Times New Roman" w:cs="Times New Roman"/>
                <w:sz w:val="24"/>
                <w:szCs w:val="24"/>
                <w:lang w:eastAsia="ar-SA"/>
              </w:rPr>
              <w:t xml:space="preserve"> tarafından karar alma sürecinin başlatılması</w:t>
            </w:r>
          </w:p>
        </w:tc>
      </w:tr>
      <w:tr w:rsidR="006C03C8" w:rsidRPr="006C03C8" w:rsidTr="00143553">
        <w:trPr>
          <w:trHeight w:val="92"/>
        </w:trPr>
        <w:tc>
          <w:tcPr>
            <w:tcW w:w="4531" w:type="dxa"/>
            <w:vMerge/>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 xml:space="preserve">Üye devlet ulusal parlamentolarından gelen üyelerden oluşan </w:t>
            </w:r>
            <w:r w:rsidRPr="006C03C8">
              <w:rPr>
                <w:rFonts w:ascii="Times New Roman" w:eastAsia="Times New Roman" w:hAnsi="Times New Roman" w:cs="Times New Roman"/>
                <w:i/>
                <w:sz w:val="24"/>
                <w:szCs w:val="24"/>
                <w:lang w:eastAsia="ar-SA"/>
              </w:rPr>
              <w:t>Avrupa Parlamentosunun</w:t>
            </w:r>
            <w:r w:rsidRPr="006C03C8">
              <w:rPr>
                <w:rFonts w:ascii="Times New Roman" w:eastAsia="Times New Roman" w:hAnsi="Times New Roman" w:cs="Times New Roman"/>
                <w:sz w:val="24"/>
                <w:szCs w:val="24"/>
                <w:lang w:eastAsia="ar-SA"/>
              </w:rPr>
              <w:t xml:space="preserve"> sadece danışma organı olarak görev yapması</w:t>
            </w:r>
          </w:p>
        </w:tc>
      </w:tr>
      <w:tr w:rsidR="006C03C8" w:rsidRPr="006C03C8" w:rsidTr="00143553">
        <w:trPr>
          <w:trHeight w:val="92"/>
        </w:trPr>
        <w:tc>
          <w:tcPr>
            <w:tcW w:w="4531" w:type="dxa"/>
            <w:vMerge/>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 xml:space="preserve">Üye devletlerin hükümet temsilcilerinden oluşan </w:t>
            </w:r>
            <w:r w:rsidRPr="006C03C8">
              <w:rPr>
                <w:rFonts w:ascii="Times New Roman" w:eastAsia="Times New Roman" w:hAnsi="Times New Roman" w:cs="Times New Roman"/>
                <w:i/>
                <w:sz w:val="24"/>
                <w:szCs w:val="24"/>
                <w:lang w:eastAsia="ar-SA"/>
              </w:rPr>
              <w:t>Bakanlar Konseyinin</w:t>
            </w:r>
            <w:r w:rsidRPr="006C03C8">
              <w:rPr>
                <w:rFonts w:ascii="Times New Roman" w:eastAsia="Times New Roman" w:hAnsi="Times New Roman" w:cs="Times New Roman"/>
                <w:sz w:val="24"/>
                <w:szCs w:val="24"/>
                <w:lang w:eastAsia="ar-SA"/>
              </w:rPr>
              <w:t xml:space="preserve"> yasama ve karar organı olması, kararlarının bir bölümünü üyesi devletleri nitelikli çoğunluğuyla alması</w:t>
            </w:r>
          </w:p>
        </w:tc>
      </w:tr>
      <w:tr w:rsidR="006C03C8" w:rsidRPr="006C03C8" w:rsidTr="00143553">
        <w:trPr>
          <w:trHeight w:val="92"/>
        </w:trPr>
        <w:tc>
          <w:tcPr>
            <w:tcW w:w="4531" w:type="dxa"/>
            <w:vMerge/>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p>
        </w:tc>
        <w:tc>
          <w:tcPr>
            <w:tcW w:w="4531" w:type="dxa"/>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 xml:space="preserve">Üye devletlerin mutabakatla atadığı </w:t>
            </w:r>
            <w:proofErr w:type="spellStart"/>
            <w:r w:rsidRPr="006C03C8">
              <w:rPr>
                <w:rFonts w:ascii="Times New Roman" w:eastAsia="Times New Roman" w:hAnsi="Times New Roman" w:cs="Times New Roman"/>
                <w:sz w:val="24"/>
                <w:szCs w:val="24"/>
                <w:lang w:eastAsia="ar-SA"/>
              </w:rPr>
              <w:t>hakimlerdan</w:t>
            </w:r>
            <w:proofErr w:type="spellEnd"/>
            <w:r w:rsidRPr="006C03C8">
              <w:rPr>
                <w:rFonts w:ascii="Times New Roman" w:eastAsia="Times New Roman" w:hAnsi="Times New Roman" w:cs="Times New Roman"/>
                <w:sz w:val="24"/>
                <w:szCs w:val="24"/>
                <w:lang w:eastAsia="ar-SA"/>
              </w:rPr>
              <w:t xml:space="preserve"> oluşan, bağımsız ve tarafsız </w:t>
            </w:r>
            <w:r w:rsidRPr="006C03C8">
              <w:rPr>
                <w:rFonts w:ascii="Times New Roman" w:eastAsia="Times New Roman" w:hAnsi="Times New Roman" w:cs="Times New Roman"/>
                <w:i/>
                <w:sz w:val="24"/>
                <w:szCs w:val="24"/>
                <w:lang w:eastAsia="ar-SA"/>
              </w:rPr>
              <w:t>Avrupa Toplulukları Adalet Divanının</w:t>
            </w:r>
            <w:r w:rsidRPr="006C03C8">
              <w:rPr>
                <w:rFonts w:ascii="Times New Roman" w:eastAsia="Times New Roman" w:hAnsi="Times New Roman" w:cs="Times New Roman"/>
                <w:sz w:val="24"/>
                <w:szCs w:val="24"/>
                <w:lang w:eastAsia="ar-SA"/>
              </w:rPr>
              <w:t xml:space="preserve"> Topluluk tasarrufları ve üye devletlerin Topluluk kurallarına uyumu konusunda yargısal denetim ve topluluk hukukunu yorumlama yetkisi</w:t>
            </w:r>
          </w:p>
        </w:tc>
      </w:tr>
    </w:tbl>
    <w:p w:rsidR="006C03C8" w:rsidRPr="006C03C8" w:rsidRDefault="006C03C8" w:rsidP="006C03C8">
      <w:pPr>
        <w:spacing w:before="100" w:beforeAutospacing="1" w:after="100" w:afterAutospacing="1" w:line="240" w:lineRule="auto"/>
        <w:ind w:left="397"/>
        <w:jc w:val="both"/>
        <w:rPr>
          <w:rFonts w:ascii="Times New Roman" w:eastAsia="Times New Roman" w:hAnsi="Times New Roman" w:cs="Times New Roman"/>
          <w:sz w:val="24"/>
          <w:szCs w:val="24"/>
          <w:lang w:eastAsia="tr-TR"/>
        </w:rPr>
      </w:pPr>
    </w:p>
    <w:p w:rsidR="006C03C8" w:rsidRPr="006C03C8" w:rsidRDefault="006C03C8" w:rsidP="006C03C8">
      <w:pPr>
        <w:keepNext/>
        <w:spacing w:before="100" w:beforeAutospacing="1" w:after="100" w:afterAutospacing="1" w:line="240" w:lineRule="auto"/>
        <w:ind w:firstLine="397"/>
        <w:jc w:val="both"/>
        <w:rPr>
          <w:rFonts w:ascii="Times New Roman" w:eastAsia="Times New Roman" w:hAnsi="Times New Roman" w:cs="Times New Roman"/>
          <w:b/>
          <w:sz w:val="24"/>
          <w:szCs w:val="24"/>
          <w:lang w:eastAsia="tr-TR"/>
        </w:rPr>
      </w:pPr>
      <w:bookmarkStart w:id="2" w:name="_Toc496626928"/>
      <w:r w:rsidRPr="006C03C8">
        <w:rPr>
          <w:rFonts w:ascii="Times New Roman" w:eastAsia="Times New Roman" w:hAnsi="Times New Roman" w:cs="Times New Roman"/>
          <w:b/>
          <w:sz w:val="24"/>
          <w:szCs w:val="24"/>
          <w:lang w:eastAsia="tr-TR"/>
        </w:rPr>
        <w:t xml:space="preserve">Tablo </w:t>
      </w:r>
      <w:r w:rsidRPr="006C03C8">
        <w:rPr>
          <w:rFonts w:ascii="Times New Roman" w:eastAsia="Times New Roman" w:hAnsi="Times New Roman" w:cs="Times New Roman"/>
          <w:b/>
          <w:sz w:val="24"/>
          <w:szCs w:val="24"/>
          <w:lang w:eastAsia="tr-TR"/>
        </w:rPr>
        <w:fldChar w:fldCharType="begin"/>
      </w:r>
      <w:r w:rsidRPr="006C03C8">
        <w:rPr>
          <w:rFonts w:ascii="Times New Roman" w:eastAsia="Times New Roman" w:hAnsi="Times New Roman" w:cs="Times New Roman"/>
          <w:b/>
          <w:sz w:val="24"/>
          <w:szCs w:val="24"/>
          <w:lang w:eastAsia="tr-TR"/>
        </w:rPr>
        <w:instrText xml:space="preserve"> SEQ Tablo \* ARABIC </w:instrText>
      </w:r>
      <w:r w:rsidRPr="006C03C8">
        <w:rPr>
          <w:rFonts w:ascii="Times New Roman" w:eastAsia="Times New Roman" w:hAnsi="Times New Roman" w:cs="Times New Roman"/>
          <w:b/>
          <w:sz w:val="24"/>
          <w:szCs w:val="24"/>
          <w:lang w:eastAsia="tr-TR"/>
        </w:rPr>
        <w:fldChar w:fldCharType="separate"/>
      </w:r>
      <w:r w:rsidRPr="006C03C8">
        <w:rPr>
          <w:rFonts w:ascii="Times New Roman" w:eastAsia="Times New Roman" w:hAnsi="Times New Roman" w:cs="Times New Roman"/>
          <w:b/>
          <w:noProof/>
          <w:sz w:val="24"/>
          <w:szCs w:val="24"/>
          <w:lang w:eastAsia="tr-TR"/>
        </w:rPr>
        <w:t>2</w:t>
      </w:r>
      <w:r w:rsidRPr="006C03C8">
        <w:rPr>
          <w:rFonts w:ascii="Times New Roman" w:eastAsia="Times New Roman" w:hAnsi="Times New Roman" w:cs="Times New Roman"/>
          <w:b/>
          <w:noProof/>
          <w:sz w:val="24"/>
          <w:szCs w:val="24"/>
          <w:lang w:eastAsia="tr-TR"/>
        </w:rPr>
        <w:fldChar w:fldCharType="end"/>
      </w:r>
      <w:r w:rsidRPr="006C03C8">
        <w:rPr>
          <w:rFonts w:ascii="Times New Roman" w:eastAsia="Times New Roman" w:hAnsi="Times New Roman" w:cs="Times New Roman"/>
          <w:b/>
          <w:sz w:val="24"/>
          <w:szCs w:val="24"/>
          <w:lang w:eastAsia="tr-TR"/>
        </w:rPr>
        <w:t>: Füzyon ve Bütçe Anlaşmaları</w:t>
      </w:r>
      <w:bookmarkEnd w:id="2"/>
    </w:p>
    <w:tbl>
      <w:tblPr>
        <w:tblStyle w:val="TabloKlavuzu"/>
        <w:tblW w:w="5000" w:type="pct"/>
        <w:tblLook w:val="04A0" w:firstRow="1" w:lastRow="0" w:firstColumn="1" w:lastColumn="0" w:noHBand="0" w:noVBand="1"/>
      </w:tblPr>
      <w:tblGrid>
        <w:gridCol w:w="3613"/>
        <w:gridCol w:w="5675"/>
      </w:tblGrid>
      <w:tr w:rsidR="006C03C8" w:rsidRPr="006C03C8" w:rsidTr="00143553">
        <w:tc>
          <w:tcPr>
            <w:tcW w:w="1945" w:type="pct"/>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b/>
                <w:sz w:val="24"/>
                <w:szCs w:val="24"/>
                <w:lang w:eastAsia="ar-SA"/>
              </w:rPr>
            </w:pPr>
            <w:r w:rsidRPr="006C03C8">
              <w:rPr>
                <w:rFonts w:ascii="Times New Roman" w:eastAsia="Times New Roman" w:hAnsi="Times New Roman" w:cs="Times New Roman"/>
                <w:b/>
                <w:sz w:val="24"/>
                <w:szCs w:val="24"/>
                <w:lang w:eastAsia="ar-SA"/>
              </w:rPr>
              <w:t>Derinleşme Aşaması</w:t>
            </w:r>
          </w:p>
        </w:tc>
        <w:tc>
          <w:tcPr>
            <w:tcW w:w="3055" w:type="pct"/>
          </w:tcPr>
          <w:p w:rsidR="006C03C8" w:rsidRPr="006C03C8" w:rsidRDefault="006C03C8" w:rsidP="006C03C8">
            <w:pPr>
              <w:spacing w:before="100" w:beforeAutospacing="1" w:after="100" w:afterAutospacing="1"/>
              <w:jc w:val="both"/>
              <w:rPr>
                <w:rFonts w:ascii="Times New Roman" w:eastAsia="Times New Roman" w:hAnsi="Times New Roman" w:cs="Times New Roman"/>
                <w:b/>
                <w:sz w:val="24"/>
                <w:szCs w:val="24"/>
                <w:lang w:eastAsia="tr-TR"/>
              </w:rPr>
            </w:pPr>
            <w:r w:rsidRPr="006C03C8">
              <w:rPr>
                <w:rFonts w:ascii="Times New Roman" w:eastAsia="Times New Roman" w:hAnsi="Times New Roman" w:cs="Times New Roman"/>
                <w:b/>
                <w:sz w:val="24"/>
                <w:szCs w:val="24"/>
                <w:lang w:eastAsia="tr-TR"/>
              </w:rPr>
              <w:t>Derinleşme Aşamasının Getirdikleri</w:t>
            </w:r>
          </w:p>
        </w:tc>
      </w:tr>
      <w:tr w:rsidR="006C03C8" w:rsidRPr="006C03C8" w:rsidTr="00143553">
        <w:tc>
          <w:tcPr>
            <w:tcW w:w="1945" w:type="pct"/>
          </w:tcPr>
          <w:p w:rsidR="006C03C8" w:rsidRPr="006C03C8" w:rsidRDefault="006C03C8" w:rsidP="006C03C8">
            <w:pPr>
              <w:tabs>
                <w:tab w:val="left" w:pos="0"/>
                <w:tab w:val="left" w:pos="142"/>
              </w:tabs>
              <w:suppressAutoHyphens/>
              <w:spacing w:before="100" w:beforeAutospacing="1" w:after="100" w:afterAutospacing="1"/>
              <w:jc w:val="both"/>
              <w:rPr>
                <w:rFonts w:ascii="Times New Roman" w:eastAsia="Times New Roman" w:hAnsi="Times New Roman" w:cs="Times New Roman"/>
                <w:sz w:val="24"/>
                <w:szCs w:val="24"/>
                <w:lang w:eastAsia="ar-SA"/>
              </w:rPr>
            </w:pPr>
            <w:r w:rsidRPr="006C03C8">
              <w:rPr>
                <w:rFonts w:ascii="Times New Roman" w:eastAsia="Times New Roman" w:hAnsi="Times New Roman" w:cs="Times New Roman"/>
                <w:sz w:val="24"/>
                <w:szCs w:val="24"/>
                <w:lang w:eastAsia="ar-SA"/>
              </w:rPr>
              <w:t>Füzyon Olayı</w:t>
            </w:r>
          </w:p>
        </w:tc>
        <w:tc>
          <w:tcPr>
            <w:tcW w:w="3055"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Toplulukları için tek bir Parlamento ve tek bir Divan oluşturulması: 1957-1958</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Toplulukları için tek bir Bakanlar Konseyi ve tek bir Komisyon oluşturulması: 1965-1967</w:t>
            </w:r>
          </w:p>
        </w:tc>
      </w:tr>
      <w:tr w:rsidR="006C03C8" w:rsidRPr="006C03C8" w:rsidTr="00143553">
        <w:tc>
          <w:tcPr>
            <w:tcW w:w="1945"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Bütçe Antlaşmaları</w:t>
            </w:r>
          </w:p>
        </w:tc>
        <w:tc>
          <w:tcPr>
            <w:tcW w:w="3055"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Avrupa </w:t>
            </w:r>
            <w:proofErr w:type="spellStart"/>
            <w:r w:rsidRPr="006C03C8">
              <w:rPr>
                <w:rFonts w:ascii="Times New Roman" w:eastAsia="Times New Roman" w:hAnsi="Times New Roman" w:cs="Times New Roman"/>
                <w:sz w:val="24"/>
                <w:szCs w:val="24"/>
                <w:lang w:eastAsia="tr-TR"/>
              </w:rPr>
              <w:t>Sayıştayının</w:t>
            </w:r>
            <w:proofErr w:type="spellEnd"/>
            <w:r w:rsidRPr="006C03C8">
              <w:rPr>
                <w:rFonts w:ascii="Times New Roman" w:eastAsia="Times New Roman" w:hAnsi="Times New Roman" w:cs="Times New Roman"/>
                <w:sz w:val="24"/>
                <w:szCs w:val="24"/>
                <w:lang w:eastAsia="tr-TR"/>
              </w:rPr>
              <w:t xml:space="preserve"> kuruluşu; bütçenin karara bağlanma yönteminin belirlenmesi: 1970 ve 1975</w:t>
            </w:r>
          </w:p>
        </w:tc>
      </w:tr>
    </w:tbl>
    <w:p w:rsidR="006C03C8" w:rsidRPr="006C03C8" w:rsidRDefault="006C03C8" w:rsidP="006C03C8">
      <w:pPr>
        <w:spacing w:before="100" w:beforeAutospacing="1" w:after="100" w:afterAutospacing="1" w:line="240" w:lineRule="auto"/>
        <w:ind w:left="397"/>
        <w:jc w:val="both"/>
        <w:rPr>
          <w:rFonts w:ascii="Times New Roman" w:eastAsia="Times New Roman" w:hAnsi="Times New Roman" w:cs="Times New Roman"/>
          <w:sz w:val="24"/>
          <w:szCs w:val="24"/>
          <w:lang w:eastAsia="tr-TR"/>
        </w:rPr>
      </w:pPr>
    </w:p>
    <w:p w:rsidR="006C03C8" w:rsidRPr="006C03C8" w:rsidRDefault="006C03C8" w:rsidP="006C03C8">
      <w:pPr>
        <w:keepNext/>
        <w:spacing w:before="100" w:beforeAutospacing="1" w:after="100" w:afterAutospacing="1" w:line="240" w:lineRule="auto"/>
        <w:ind w:firstLine="397"/>
        <w:jc w:val="both"/>
        <w:rPr>
          <w:rFonts w:ascii="Times New Roman" w:eastAsia="Times New Roman" w:hAnsi="Times New Roman" w:cs="Times New Roman"/>
          <w:b/>
          <w:sz w:val="24"/>
          <w:szCs w:val="24"/>
          <w:lang w:eastAsia="tr-TR"/>
        </w:rPr>
      </w:pPr>
      <w:bookmarkStart w:id="3" w:name="_Toc496626929"/>
      <w:r w:rsidRPr="006C03C8">
        <w:rPr>
          <w:rFonts w:ascii="Times New Roman" w:eastAsia="Times New Roman" w:hAnsi="Times New Roman" w:cs="Times New Roman"/>
          <w:b/>
          <w:sz w:val="24"/>
          <w:szCs w:val="24"/>
          <w:lang w:eastAsia="tr-TR"/>
        </w:rPr>
        <w:t xml:space="preserve">Tablo </w:t>
      </w:r>
      <w:r w:rsidRPr="006C03C8">
        <w:rPr>
          <w:rFonts w:ascii="Times New Roman" w:eastAsia="Times New Roman" w:hAnsi="Times New Roman" w:cs="Times New Roman"/>
          <w:b/>
          <w:sz w:val="24"/>
          <w:szCs w:val="24"/>
          <w:lang w:eastAsia="tr-TR"/>
        </w:rPr>
        <w:fldChar w:fldCharType="begin"/>
      </w:r>
      <w:r w:rsidRPr="006C03C8">
        <w:rPr>
          <w:rFonts w:ascii="Times New Roman" w:eastAsia="Times New Roman" w:hAnsi="Times New Roman" w:cs="Times New Roman"/>
          <w:b/>
          <w:sz w:val="24"/>
          <w:szCs w:val="24"/>
          <w:lang w:eastAsia="tr-TR"/>
        </w:rPr>
        <w:instrText xml:space="preserve"> SEQ Tablo \* ARABIC </w:instrText>
      </w:r>
      <w:r w:rsidRPr="006C03C8">
        <w:rPr>
          <w:rFonts w:ascii="Times New Roman" w:eastAsia="Times New Roman" w:hAnsi="Times New Roman" w:cs="Times New Roman"/>
          <w:b/>
          <w:sz w:val="24"/>
          <w:szCs w:val="24"/>
          <w:lang w:eastAsia="tr-TR"/>
        </w:rPr>
        <w:fldChar w:fldCharType="separate"/>
      </w:r>
      <w:r w:rsidRPr="006C03C8">
        <w:rPr>
          <w:rFonts w:ascii="Times New Roman" w:eastAsia="Times New Roman" w:hAnsi="Times New Roman" w:cs="Times New Roman"/>
          <w:b/>
          <w:noProof/>
          <w:sz w:val="24"/>
          <w:szCs w:val="24"/>
          <w:lang w:eastAsia="tr-TR"/>
        </w:rPr>
        <w:t>3</w:t>
      </w:r>
      <w:r w:rsidRPr="006C03C8">
        <w:rPr>
          <w:rFonts w:ascii="Times New Roman" w:eastAsia="Times New Roman" w:hAnsi="Times New Roman" w:cs="Times New Roman"/>
          <w:b/>
          <w:noProof/>
          <w:sz w:val="24"/>
          <w:szCs w:val="24"/>
          <w:lang w:eastAsia="tr-TR"/>
        </w:rPr>
        <w:fldChar w:fldCharType="end"/>
      </w:r>
      <w:r w:rsidRPr="006C03C8">
        <w:rPr>
          <w:rFonts w:ascii="Times New Roman" w:eastAsia="Times New Roman" w:hAnsi="Times New Roman" w:cs="Times New Roman"/>
          <w:b/>
          <w:sz w:val="24"/>
          <w:szCs w:val="24"/>
          <w:lang w:eastAsia="tr-TR"/>
        </w:rPr>
        <w:t>: Avrupa Tek Senedi (ATS): 1986/1987</w:t>
      </w:r>
      <w:bookmarkEnd w:id="3"/>
    </w:p>
    <w:tbl>
      <w:tblPr>
        <w:tblStyle w:val="TabloKlavuzu"/>
        <w:tblW w:w="5000" w:type="pct"/>
        <w:tblLook w:val="04A0" w:firstRow="1" w:lastRow="0" w:firstColumn="1" w:lastColumn="0" w:noHBand="0" w:noVBand="1"/>
      </w:tblPr>
      <w:tblGrid>
        <w:gridCol w:w="4644"/>
        <w:gridCol w:w="4644"/>
      </w:tblGrid>
      <w:tr w:rsidR="006C03C8" w:rsidRPr="006C03C8" w:rsidTr="00143553">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b/>
                <w:sz w:val="24"/>
                <w:szCs w:val="24"/>
                <w:lang w:eastAsia="tr-TR"/>
              </w:rPr>
              <w:t>Derinleşme Aşamasına Giden Yol</w:t>
            </w: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b/>
                <w:sz w:val="24"/>
                <w:szCs w:val="24"/>
                <w:lang w:eastAsia="tr-TR"/>
              </w:rPr>
            </w:pPr>
            <w:r w:rsidRPr="006C03C8">
              <w:rPr>
                <w:rFonts w:ascii="Times New Roman" w:eastAsia="Times New Roman" w:hAnsi="Times New Roman" w:cs="Times New Roman"/>
                <w:b/>
                <w:sz w:val="24"/>
                <w:szCs w:val="24"/>
                <w:lang w:eastAsia="tr-TR"/>
              </w:rPr>
              <w:t>Derinleşme Aşamasının Getirdikleri</w:t>
            </w:r>
          </w:p>
        </w:tc>
      </w:tr>
      <w:tr w:rsidR="006C03C8" w:rsidRPr="006C03C8" w:rsidTr="00143553">
        <w:trPr>
          <w:trHeight w:val="2675"/>
        </w:trPr>
        <w:tc>
          <w:tcPr>
            <w:tcW w:w="2500" w:type="pct"/>
            <w:vMerge w:val="restar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*60’lı ve 70’li yıllar: Avrupa bütünleşmesinin sorunlu yılları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*1965 yılındaki boş sandalye krizi ve Lüksemburg uzlaşısı: Bir üye devletin bir konu ile ilgili hayati ulusal çıkar iddiası karşısında kararların Konseyde ancak oybirliği ile alınması yönünde fiili uygulamaya geçilmesi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*Petrol krizi, ekonomik durgunluk ve daralma yılları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*Üye </w:t>
            </w:r>
            <w:proofErr w:type="gramStart"/>
            <w:r w:rsidRPr="006C03C8">
              <w:rPr>
                <w:rFonts w:ascii="Times New Roman" w:eastAsia="Times New Roman" w:hAnsi="Times New Roman" w:cs="Times New Roman"/>
                <w:sz w:val="24"/>
                <w:szCs w:val="24"/>
                <w:lang w:eastAsia="tr-TR"/>
              </w:rPr>
              <w:t>devletler arasında</w:t>
            </w:r>
            <w:proofErr w:type="gramEnd"/>
            <w:r w:rsidRPr="006C03C8">
              <w:rPr>
                <w:rFonts w:ascii="Times New Roman" w:eastAsia="Times New Roman" w:hAnsi="Times New Roman" w:cs="Times New Roman"/>
                <w:sz w:val="24"/>
                <w:szCs w:val="24"/>
                <w:lang w:eastAsia="tr-TR"/>
              </w:rPr>
              <w:t xml:space="preserve"> gümrük birliğinin </w:t>
            </w:r>
            <w:r w:rsidRPr="006C03C8">
              <w:rPr>
                <w:rFonts w:ascii="Times New Roman" w:eastAsia="Times New Roman" w:hAnsi="Times New Roman" w:cs="Times New Roman"/>
                <w:sz w:val="24"/>
                <w:szCs w:val="24"/>
                <w:lang w:eastAsia="tr-TR"/>
              </w:rPr>
              <w:lastRenderedPageBreak/>
              <w:t xml:space="preserve">1968’de tamamlanmasına karşılık ortak pazarın oluşturulmasında karşılaşılan fiziki, teknik ve mali engeller (sınırlarda gümrük kontrolleri, üretim ve güvenlik standardı farklılıkları ve ayrımcı dolaylı vergi (örneğin </w:t>
            </w:r>
            <w:proofErr w:type="spellStart"/>
            <w:r w:rsidRPr="006C03C8">
              <w:rPr>
                <w:rFonts w:ascii="Times New Roman" w:eastAsia="Times New Roman" w:hAnsi="Times New Roman" w:cs="Times New Roman"/>
                <w:sz w:val="24"/>
                <w:szCs w:val="24"/>
                <w:lang w:eastAsia="tr-TR"/>
              </w:rPr>
              <w:t>ötv</w:t>
            </w:r>
            <w:proofErr w:type="spellEnd"/>
            <w:r w:rsidRPr="006C03C8">
              <w:rPr>
                <w:rFonts w:ascii="Times New Roman" w:eastAsia="Times New Roman" w:hAnsi="Times New Roman" w:cs="Times New Roman"/>
                <w:sz w:val="24"/>
                <w:szCs w:val="24"/>
                <w:lang w:eastAsia="tr-TR"/>
              </w:rPr>
              <w:t>) uygulamaları gibi)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*Komisyon tarafından Avrupa tek pazarı önündeki fiziki, teknik ve mali engellerin kaldırılmasını sağlayacak ve üye devletlerin ulusal mevzuatlarını uyumlaştıracak 300 civarı hukuki düzenlemeye yer veren beyaz kitabın hazırlanması-1985</w:t>
            </w: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lastRenderedPageBreak/>
              <w:t>Kurumsal Değişiklikler</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*Fiili oybirliği uygulamasının terk edilmesi ve nitelikli oy çokluğu ile karara bağlanan alanlarda artış: Lüksemburg uzlaşısının mümkün olduğu ölçüde uygulanmaması yönünde üye devletlerin taahhüdü</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*Karar alma süreçlerinde reform ve Avrupa Parlamentosunun karar alma sürecine katılımını arttıran işbirliği </w:t>
            </w:r>
            <w:proofErr w:type="gramStart"/>
            <w:r w:rsidRPr="006C03C8">
              <w:rPr>
                <w:rFonts w:ascii="Times New Roman" w:eastAsia="Times New Roman" w:hAnsi="Times New Roman" w:cs="Times New Roman"/>
                <w:sz w:val="24"/>
                <w:szCs w:val="24"/>
                <w:lang w:eastAsia="tr-TR"/>
              </w:rPr>
              <w:t>prosedürünün</w:t>
            </w:r>
            <w:proofErr w:type="gramEnd"/>
            <w:r w:rsidRPr="006C03C8">
              <w:rPr>
                <w:rFonts w:ascii="Times New Roman" w:eastAsia="Times New Roman" w:hAnsi="Times New Roman" w:cs="Times New Roman"/>
                <w:sz w:val="24"/>
                <w:szCs w:val="24"/>
                <w:lang w:eastAsia="tr-TR"/>
              </w:rPr>
              <w:t xml:space="preserve"> öngörülmesi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*Avrupa Parlamentosunun yeni üye kabulünü </w:t>
            </w:r>
            <w:r w:rsidRPr="006C03C8">
              <w:rPr>
                <w:rFonts w:ascii="Times New Roman" w:eastAsia="Times New Roman" w:hAnsi="Times New Roman" w:cs="Times New Roman"/>
                <w:sz w:val="24"/>
                <w:szCs w:val="24"/>
                <w:lang w:eastAsia="tr-TR"/>
              </w:rPr>
              <w:lastRenderedPageBreak/>
              <w:t>düzenleyen katılım antlaşmaları ve üçüncü ülkelere yapılacak ortaklık anlaşmalarının onayı konusunda yetkilendirilmesi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*İlk derece mahkemesinin kurulması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*Zirve oluşumunun ilk defa kurucu antlaşmalara geçirilmesi</w:t>
            </w:r>
          </w:p>
        </w:tc>
      </w:tr>
      <w:tr w:rsidR="006C03C8" w:rsidRPr="006C03C8" w:rsidTr="00143553">
        <w:trPr>
          <w:trHeight w:val="2675"/>
        </w:trPr>
        <w:tc>
          <w:tcPr>
            <w:tcW w:w="2500" w:type="pct"/>
            <w:vMerge/>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Politika Alanındaki Değişiklikler</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tek pazarının kurulması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*Çevre, teknolojik araştırma-geliştirme, ekonomik-sosyal uyum gibi yeni politika alanlarının topluluk yetkisine dâhil edilmesi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siyasi işbirliği mekanizmasının kurulması ve dış politika alanlarında ulusal politikalar arasında koordinasyona gidilmesi</w:t>
            </w:r>
          </w:p>
        </w:tc>
      </w:tr>
    </w:tbl>
    <w:p w:rsidR="006C03C8" w:rsidRPr="006C03C8" w:rsidRDefault="006C03C8" w:rsidP="006C03C8">
      <w:pPr>
        <w:spacing w:before="100" w:beforeAutospacing="1" w:after="100" w:afterAutospacing="1" w:line="240" w:lineRule="auto"/>
        <w:ind w:left="397"/>
        <w:jc w:val="both"/>
        <w:rPr>
          <w:rFonts w:ascii="Times New Roman" w:eastAsia="Times New Roman" w:hAnsi="Times New Roman" w:cs="Times New Roman"/>
          <w:sz w:val="24"/>
          <w:szCs w:val="24"/>
          <w:lang w:eastAsia="tr-TR"/>
        </w:rPr>
      </w:pPr>
    </w:p>
    <w:p w:rsidR="006C03C8" w:rsidRPr="006C03C8" w:rsidRDefault="006C03C8" w:rsidP="006C03C8">
      <w:pPr>
        <w:keepNext/>
        <w:spacing w:before="100" w:beforeAutospacing="1" w:after="100" w:afterAutospacing="1" w:line="240" w:lineRule="auto"/>
        <w:ind w:firstLine="397"/>
        <w:jc w:val="both"/>
        <w:rPr>
          <w:rFonts w:ascii="Times New Roman" w:eastAsia="Times New Roman" w:hAnsi="Times New Roman" w:cs="Times New Roman"/>
          <w:b/>
          <w:sz w:val="24"/>
          <w:szCs w:val="24"/>
          <w:lang w:eastAsia="tr-TR"/>
        </w:rPr>
      </w:pPr>
      <w:bookmarkStart w:id="4" w:name="_Toc496626930"/>
      <w:r w:rsidRPr="006C03C8">
        <w:rPr>
          <w:rFonts w:ascii="Times New Roman" w:eastAsia="Times New Roman" w:hAnsi="Times New Roman" w:cs="Times New Roman"/>
          <w:b/>
          <w:sz w:val="24"/>
          <w:szCs w:val="24"/>
          <w:lang w:eastAsia="tr-TR"/>
        </w:rPr>
        <w:t xml:space="preserve">Tablo </w:t>
      </w:r>
      <w:r w:rsidRPr="006C03C8">
        <w:rPr>
          <w:rFonts w:ascii="Times New Roman" w:eastAsia="Times New Roman" w:hAnsi="Times New Roman" w:cs="Times New Roman"/>
          <w:b/>
          <w:sz w:val="24"/>
          <w:szCs w:val="24"/>
          <w:lang w:eastAsia="tr-TR"/>
        </w:rPr>
        <w:fldChar w:fldCharType="begin"/>
      </w:r>
      <w:r w:rsidRPr="006C03C8">
        <w:rPr>
          <w:rFonts w:ascii="Times New Roman" w:eastAsia="Times New Roman" w:hAnsi="Times New Roman" w:cs="Times New Roman"/>
          <w:b/>
          <w:sz w:val="24"/>
          <w:szCs w:val="24"/>
          <w:lang w:eastAsia="tr-TR"/>
        </w:rPr>
        <w:instrText xml:space="preserve"> SEQ Tablo \* ARABIC </w:instrText>
      </w:r>
      <w:r w:rsidRPr="006C03C8">
        <w:rPr>
          <w:rFonts w:ascii="Times New Roman" w:eastAsia="Times New Roman" w:hAnsi="Times New Roman" w:cs="Times New Roman"/>
          <w:b/>
          <w:sz w:val="24"/>
          <w:szCs w:val="24"/>
          <w:lang w:eastAsia="tr-TR"/>
        </w:rPr>
        <w:fldChar w:fldCharType="separate"/>
      </w:r>
      <w:r w:rsidRPr="006C03C8">
        <w:rPr>
          <w:rFonts w:ascii="Times New Roman" w:eastAsia="Times New Roman" w:hAnsi="Times New Roman" w:cs="Times New Roman"/>
          <w:b/>
          <w:noProof/>
          <w:sz w:val="24"/>
          <w:szCs w:val="24"/>
          <w:lang w:eastAsia="tr-TR"/>
        </w:rPr>
        <w:t>4</w:t>
      </w:r>
      <w:r w:rsidRPr="006C03C8">
        <w:rPr>
          <w:rFonts w:ascii="Times New Roman" w:eastAsia="Times New Roman" w:hAnsi="Times New Roman" w:cs="Times New Roman"/>
          <w:b/>
          <w:noProof/>
          <w:sz w:val="24"/>
          <w:szCs w:val="24"/>
          <w:lang w:eastAsia="tr-TR"/>
        </w:rPr>
        <w:fldChar w:fldCharType="end"/>
      </w:r>
      <w:r w:rsidRPr="006C03C8">
        <w:rPr>
          <w:rFonts w:ascii="Times New Roman" w:eastAsia="Times New Roman" w:hAnsi="Times New Roman" w:cs="Times New Roman"/>
          <w:b/>
          <w:sz w:val="24"/>
          <w:szCs w:val="24"/>
          <w:lang w:eastAsia="tr-TR"/>
        </w:rPr>
        <w:t>: Maastricht Antlaşması (MA): 1992/1993</w:t>
      </w:r>
      <w:bookmarkEnd w:id="4"/>
    </w:p>
    <w:tbl>
      <w:tblPr>
        <w:tblStyle w:val="TabloKlavuzu"/>
        <w:tblW w:w="5000" w:type="pct"/>
        <w:tblLook w:val="04A0" w:firstRow="1" w:lastRow="0" w:firstColumn="1" w:lastColumn="0" w:noHBand="0" w:noVBand="1"/>
      </w:tblPr>
      <w:tblGrid>
        <w:gridCol w:w="4644"/>
        <w:gridCol w:w="4644"/>
      </w:tblGrid>
      <w:tr w:rsidR="006C03C8" w:rsidRPr="006C03C8" w:rsidTr="00143553">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b/>
                <w:sz w:val="24"/>
                <w:szCs w:val="24"/>
                <w:lang w:eastAsia="tr-TR"/>
              </w:rPr>
              <w:t>Derinleşme Aşamasına Giden Yol</w:t>
            </w: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b/>
                <w:sz w:val="24"/>
                <w:szCs w:val="24"/>
                <w:lang w:eastAsia="tr-TR"/>
              </w:rPr>
            </w:pPr>
            <w:r w:rsidRPr="006C03C8">
              <w:rPr>
                <w:rFonts w:ascii="Times New Roman" w:eastAsia="Times New Roman" w:hAnsi="Times New Roman" w:cs="Times New Roman"/>
                <w:b/>
                <w:sz w:val="24"/>
                <w:szCs w:val="24"/>
                <w:lang w:eastAsia="tr-TR"/>
              </w:rPr>
              <w:t>Derinleşme Aşamasının Getirdikleri</w:t>
            </w:r>
          </w:p>
        </w:tc>
      </w:tr>
      <w:tr w:rsidR="006C03C8" w:rsidRPr="006C03C8" w:rsidTr="00143553">
        <w:trPr>
          <w:trHeight w:val="880"/>
        </w:trPr>
        <w:tc>
          <w:tcPr>
            <w:tcW w:w="2500" w:type="pct"/>
            <w:vMerge w:val="restar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*1992 sonunda Avrupa iç/tek pazarının tamamlanması ile ekonomik bütünleşmede bir sonraki aşama olan ekonomik ve parasal birliğe geçme imkân ve ihtiyacının ortaya çıkması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bütünleşmesinin belli bir aşamaya ulaşması ve soğuk savaşın sona ermesi ile siyasi alanlarda bütünleşme adımlarının atılabileceği bir ortamın doğması</w:t>
            </w: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Kurumsal Değişiklikler</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Birliğinin kurulması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*Sütun yapısının ortaya çıkışı: ekonomik bütünleşme (</w:t>
            </w:r>
            <w:proofErr w:type="spellStart"/>
            <w:r w:rsidRPr="006C03C8">
              <w:rPr>
                <w:rFonts w:ascii="Times New Roman" w:eastAsia="Times New Roman" w:hAnsi="Times New Roman" w:cs="Times New Roman"/>
                <w:sz w:val="24"/>
                <w:szCs w:val="24"/>
                <w:lang w:eastAsia="tr-TR"/>
              </w:rPr>
              <w:t>avrupa</w:t>
            </w:r>
            <w:proofErr w:type="spellEnd"/>
            <w:r w:rsidRPr="006C03C8">
              <w:rPr>
                <w:rFonts w:ascii="Times New Roman" w:eastAsia="Times New Roman" w:hAnsi="Times New Roman" w:cs="Times New Roman"/>
                <w:sz w:val="24"/>
                <w:szCs w:val="24"/>
                <w:lang w:eastAsia="tr-TR"/>
              </w:rPr>
              <w:t xml:space="preserve"> toplulukları) sütunu (A(E)T, AKÇT, AAET); siyasi bütünleşme (AB) sütunları (ortak dışişleri ve güvenlik politikası (ODGP) ve adalet ve içişlerinde işbirliği)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*Karar alma süreçlerinde değişiklik; Avrupa </w:t>
            </w:r>
            <w:proofErr w:type="spellStart"/>
            <w:r w:rsidRPr="006C03C8">
              <w:rPr>
                <w:rFonts w:ascii="Times New Roman" w:eastAsia="Times New Roman" w:hAnsi="Times New Roman" w:cs="Times New Roman"/>
                <w:sz w:val="24"/>
                <w:szCs w:val="24"/>
                <w:lang w:eastAsia="tr-TR"/>
              </w:rPr>
              <w:t>Parlamentosua</w:t>
            </w:r>
            <w:proofErr w:type="spellEnd"/>
            <w:r w:rsidRPr="006C03C8">
              <w:rPr>
                <w:rFonts w:ascii="Times New Roman" w:eastAsia="Times New Roman" w:hAnsi="Times New Roman" w:cs="Times New Roman"/>
                <w:sz w:val="24"/>
                <w:szCs w:val="24"/>
                <w:lang w:eastAsia="tr-TR"/>
              </w:rPr>
              <w:t xml:space="preserve"> önemli rol tanıyan ortak karar usulünün getirilmesi ve Bakanlar Konseyinde nitelikli oy çokluğu ile karara bağlanan alanların sayısının artırılması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Parlamentosunun, Komisyonun atanması alanında rol sahibi hale gelmesi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*Avrupa Parlamentosunun Topluluğun taraf olacağı uluslararası anlaşmalar konusundaki </w:t>
            </w:r>
            <w:r w:rsidRPr="006C03C8">
              <w:rPr>
                <w:rFonts w:ascii="Times New Roman" w:eastAsia="Times New Roman" w:hAnsi="Times New Roman" w:cs="Times New Roman"/>
                <w:sz w:val="24"/>
                <w:szCs w:val="24"/>
                <w:lang w:eastAsia="tr-TR"/>
              </w:rPr>
              <w:lastRenderedPageBreak/>
              <w:t>yetkilerinin arttırılması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*Bölgeler Komitesi, Ombudsman, Avrupa Merkez Bankası gibi yeni kurumların oluşturulması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*Katmanlı yetki ilkesi ve orantılılık ilkesinin antlaşmalara genel ilke olarak girişi</w:t>
            </w:r>
          </w:p>
        </w:tc>
      </w:tr>
      <w:tr w:rsidR="006C03C8" w:rsidRPr="006C03C8" w:rsidTr="00143553">
        <w:trPr>
          <w:trHeight w:val="880"/>
        </w:trPr>
        <w:tc>
          <w:tcPr>
            <w:tcW w:w="2500" w:type="pct"/>
            <w:vMerge/>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Politika Alanındaki Değişiklikler</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*Ekonomik ve parasal birlik</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*Ortak dışişleri ve güvenlik politikası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*Adalet ve içişlerinde işbirliği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vatandaşlığı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*Bazı sosyal politika alanlarında AB’nin yetkilendirilmesi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*Temel hakların Birlik düzeyinde korunması ile ilgili Avrupa Toplulukları Adalet Divanı (ATAD) içtihadının kurucu antlaşmalara geçirilmesi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*Eğitim, kültür, kamu sağlığı (genel sağlık), tüketicinin korunması, trans-</w:t>
            </w:r>
            <w:proofErr w:type="spellStart"/>
            <w:r w:rsidRPr="006C03C8">
              <w:rPr>
                <w:rFonts w:ascii="Times New Roman" w:eastAsia="Times New Roman" w:hAnsi="Times New Roman" w:cs="Times New Roman"/>
                <w:sz w:val="24"/>
                <w:szCs w:val="24"/>
                <w:lang w:eastAsia="tr-TR"/>
              </w:rPr>
              <w:t>avrupa</w:t>
            </w:r>
            <w:proofErr w:type="spellEnd"/>
            <w:r w:rsidRPr="006C03C8">
              <w:rPr>
                <w:rFonts w:ascii="Times New Roman" w:eastAsia="Times New Roman" w:hAnsi="Times New Roman" w:cs="Times New Roman"/>
                <w:sz w:val="24"/>
                <w:szCs w:val="24"/>
                <w:lang w:eastAsia="tr-TR"/>
              </w:rPr>
              <w:t xml:space="preserve"> ulaşım ve enerji ağları alanlarının bütünleşme yetkilerine dâhil edilmesi</w:t>
            </w:r>
          </w:p>
        </w:tc>
      </w:tr>
    </w:tbl>
    <w:p w:rsidR="006C03C8" w:rsidRPr="006C03C8" w:rsidRDefault="006C03C8" w:rsidP="006C03C8">
      <w:pPr>
        <w:spacing w:before="100" w:beforeAutospacing="1" w:after="100" w:afterAutospacing="1" w:line="240" w:lineRule="auto"/>
        <w:ind w:left="397"/>
        <w:jc w:val="both"/>
        <w:rPr>
          <w:rFonts w:ascii="Times New Roman" w:eastAsia="Times New Roman" w:hAnsi="Times New Roman" w:cs="Times New Roman"/>
          <w:sz w:val="24"/>
          <w:szCs w:val="24"/>
          <w:lang w:eastAsia="tr-TR"/>
        </w:rPr>
      </w:pPr>
    </w:p>
    <w:p w:rsidR="006C03C8" w:rsidRPr="006C03C8" w:rsidRDefault="006C03C8" w:rsidP="006C03C8">
      <w:pPr>
        <w:keepNext/>
        <w:spacing w:before="100" w:beforeAutospacing="1" w:after="100" w:afterAutospacing="1" w:line="240" w:lineRule="auto"/>
        <w:ind w:firstLine="397"/>
        <w:jc w:val="both"/>
        <w:rPr>
          <w:rFonts w:ascii="Times New Roman" w:eastAsia="Times New Roman" w:hAnsi="Times New Roman" w:cs="Times New Roman"/>
          <w:b/>
          <w:sz w:val="24"/>
          <w:szCs w:val="24"/>
          <w:lang w:eastAsia="tr-TR"/>
        </w:rPr>
      </w:pPr>
      <w:bookmarkStart w:id="5" w:name="_Toc496626931"/>
      <w:r w:rsidRPr="006C03C8">
        <w:rPr>
          <w:rFonts w:ascii="Times New Roman" w:eastAsia="Times New Roman" w:hAnsi="Times New Roman" w:cs="Times New Roman"/>
          <w:b/>
          <w:sz w:val="24"/>
          <w:szCs w:val="24"/>
          <w:lang w:eastAsia="tr-TR"/>
        </w:rPr>
        <w:t xml:space="preserve">Tablo </w:t>
      </w:r>
      <w:r w:rsidRPr="006C03C8">
        <w:rPr>
          <w:rFonts w:ascii="Times New Roman" w:eastAsia="Times New Roman" w:hAnsi="Times New Roman" w:cs="Times New Roman"/>
          <w:b/>
          <w:sz w:val="24"/>
          <w:szCs w:val="24"/>
          <w:lang w:eastAsia="tr-TR"/>
        </w:rPr>
        <w:fldChar w:fldCharType="begin"/>
      </w:r>
      <w:r w:rsidRPr="006C03C8">
        <w:rPr>
          <w:rFonts w:ascii="Times New Roman" w:eastAsia="Times New Roman" w:hAnsi="Times New Roman" w:cs="Times New Roman"/>
          <w:b/>
          <w:sz w:val="24"/>
          <w:szCs w:val="24"/>
          <w:lang w:eastAsia="tr-TR"/>
        </w:rPr>
        <w:instrText xml:space="preserve"> SEQ Tablo \* ARABIC </w:instrText>
      </w:r>
      <w:r w:rsidRPr="006C03C8">
        <w:rPr>
          <w:rFonts w:ascii="Times New Roman" w:eastAsia="Times New Roman" w:hAnsi="Times New Roman" w:cs="Times New Roman"/>
          <w:b/>
          <w:sz w:val="24"/>
          <w:szCs w:val="24"/>
          <w:lang w:eastAsia="tr-TR"/>
        </w:rPr>
        <w:fldChar w:fldCharType="separate"/>
      </w:r>
      <w:r w:rsidRPr="006C03C8">
        <w:rPr>
          <w:rFonts w:ascii="Times New Roman" w:eastAsia="Times New Roman" w:hAnsi="Times New Roman" w:cs="Times New Roman"/>
          <w:b/>
          <w:noProof/>
          <w:sz w:val="24"/>
          <w:szCs w:val="24"/>
          <w:lang w:eastAsia="tr-TR"/>
        </w:rPr>
        <w:t>5</w:t>
      </w:r>
      <w:r w:rsidRPr="006C03C8">
        <w:rPr>
          <w:rFonts w:ascii="Times New Roman" w:eastAsia="Times New Roman" w:hAnsi="Times New Roman" w:cs="Times New Roman"/>
          <w:b/>
          <w:noProof/>
          <w:sz w:val="24"/>
          <w:szCs w:val="24"/>
          <w:lang w:eastAsia="tr-TR"/>
        </w:rPr>
        <w:fldChar w:fldCharType="end"/>
      </w:r>
      <w:r w:rsidRPr="006C03C8">
        <w:rPr>
          <w:rFonts w:ascii="Times New Roman" w:eastAsia="Times New Roman" w:hAnsi="Times New Roman" w:cs="Times New Roman"/>
          <w:b/>
          <w:sz w:val="24"/>
          <w:szCs w:val="24"/>
          <w:lang w:eastAsia="tr-TR"/>
        </w:rPr>
        <w:t>: Amsterdam Antlaşması (AA): 1997/1997</w:t>
      </w:r>
      <w:bookmarkEnd w:id="5"/>
    </w:p>
    <w:tbl>
      <w:tblPr>
        <w:tblStyle w:val="TabloKlavuzu"/>
        <w:tblW w:w="5000" w:type="pct"/>
        <w:tblLook w:val="04A0" w:firstRow="1" w:lastRow="0" w:firstColumn="1" w:lastColumn="0" w:noHBand="0" w:noVBand="1"/>
      </w:tblPr>
      <w:tblGrid>
        <w:gridCol w:w="4644"/>
        <w:gridCol w:w="4644"/>
      </w:tblGrid>
      <w:tr w:rsidR="006C03C8" w:rsidRPr="006C03C8" w:rsidTr="00143553">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b/>
                <w:sz w:val="24"/>
                <w:szCs w:val="24"/>
                <w:lang w:eastAsia="tr-TR"/>
              </w:rPr>
              <w:t>Derinleşme Aşamasına Giden Yol</w:t>
            </w: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b/>
                <w:sz w:val="24"/>
                <w:szCs w:val="24"/>
                <w:lang w:eastAsia="tr-TR"/>
              </w:rPr>
            </w:pPr>
            <w:r w:rsidRPr="006C03C8">
              <w:rPr>
                <w:rFonts w:ascii="Times New Roman" w:eastAsia="Times New Roman" w:hAnsi="Times New Roman" w:cs="Times New Roman"/>
                <w:b/>
                <w:sz w:val="24"/>
                <w:szCs w:val="24"/>
                <w:lang w:eastAsia="tr-TR"/>
              </w:rPr>
              <w:t>Derinleşme Aşamasının Getirdikleri</w:t>
            </w:r>
          </w:p>
        </w:tc>
      </w:tr>
      <w:tr w:rsidR="006C03C8" w:rsidRPr="006C03C8" w:rsidTr="00143553">
        <w:trPr>
          <w:trHeight w:val="880"/>
        </w:trPr>
        <w:tc>
          <w:tcPr>
            <w:tcW w:w="2500" w:type="pct"/>
            <w:vMerge w:val="restar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*Yaklaşan büyük genişleme dalgası ve üye sayısının artışı sonrası AB’yi etkili işleyen bir yapı olarak muhafaza etme ve geliştirme ihtiyacı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*Yaklaşan 21. yüzyılda Birliğin daha etkili ve demokratik işleyişi için atılması gereken adımların mevcudiyeti</w:t>
            </w: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Kurumsal Değişiklikler</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*Nitelikli oy çokluğu ve ortak karar usulü ile karara bağlanan alanların artırılması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*Ulusal parlamentolar ile Avrupa bütünleşmesi arasında kurumsal diyalog kurulması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*Katmanlı yetki ve orantılılık ilkelerinin uygulanması ile ilgili protokol</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*Esneklik ilkesi: güçlendirilmiş işbirliği: bir grup üye devletin belirli şartlar çerçevesinde </w:t>
            </w:r>
            <w:r w:rsidRPr="006C03C8">
              <w:rPr>
                <w:rFonts w:ascii="Times New Roman" w:eastAsia="Times New Roman" w:hAnsi="Times New Roman" w:cs="Times New Roman"/>
                <w:sz w:val="24"/>
                <w:szCs w:val="24"/>
                <w:lang w:eastAsia="tr-TR"/>
              </w:rPr>
              <w:lastRenderedPageBreak/>
              <w:t>aralarında daha fazla bütünleşmeye gitme imkânına kavuşturulması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*kurucu antlaşmaların o zamana kadar yapılan tadil antlaşmaları ile eklenen hükümler çerçevesinde yeniden </w:t>
            </w:r>
            <w:proofErr w:type="spellStart"/>
            <w:r w:rsidRPr="006C03C8">
              <w:rPr>
                <w:rFonts w:ascii="Times New Roman" w:eastAsia="Times New Roman" w:hAnsi="Times New Roman" w:cs="Times New Roman"/>
                <w:sz w:val="24"/>
                <w:szCs w:val="24"/>
                <w:lang w:eastAsia="tr-TR"/>
              </w:rPr>
              <w:t>maddelendirilerek</w:t>
            </w:r>
            <w:proofErr w:type="spellEnd"/>
            <w:r w:rsidRPr="006C03C8">
              <w:rPr>
                <w:rFonts w:ascii="Times New Roman" w:eastAsia="Times New Roman" w:hAnsi="Times New Roman" w:cs="Times New Roman"/>
                <w:sz w:val="24"/>
                <w:szCs w:val="24"/>
                <w:lang w:eastAsia="tr-TR"/>
              </w:rPr>
              <w:t xml:space="preserve"> </w:t>
            </w:r>
            <w:proofErr w:type="gramStart"/>
            <w:r w:rsidRPr="006C03C8">
              <w:rPr>
                <w:rFonts w:ascii="Times New Roman" w:eastAsia="Times New Roman" w:hAnsi="Times New Roman" w:cs="Times New Roman"/>
                <w:sz w:val="24"/>
                <w:szCs w:val="24"/>
                <w:lang w:eastAsia="tr-TR"/>
              </w:rPr>
              <w:t>konsolidasyonu</w:t>
            </w:r>
            <w:proofErr w:type="gramEnd"/>
          </w:p>
        </w:tc>
      </w:tr>
      <w:tr w:rsidR="006C03C8" w:rsidRPr="006C03C8" w:rsidTr="00143553">
        <w:trPr>
          <w:trHeight w:val="880"/>
        </w:trPr>
        <w:tc>
          <w:tcPr>
            <w:tcW w:w="2500" w:type="pct"/>
            <w:vMerge/>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Politika Alanındaki Değişiklikler</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Birliğinin temel ilkelerinin ilk defa açıkça antlaşmalara geçirilmesi ve AB’ye katılımı düzenleyen ABA 49. maddede de bir üyelik koşulu olarak düzenlenmesi: üye devletler için de ortak ilkeler olan özgürlük, demokrasi, insan haklarına ve hukukun üstünlüğüne saygı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*AB’nin temel ilkelerinin ağır ve sürekli ihlali durumunda üyelik haklarının askıya alınması mekanizmasının getirilmesi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*3. ülke vatandaşlarını ilgilendiren vize, sığınma, göç ve 3. ülke vatandaşlarının statüsü ve adli konularda işbirliği ile ilgili 3. sütun konularının birinci sütuna dâhil edilmesi; 3. sütunun adının “cezai konularda polis ve adli işbirliği” olarak belirlenmesi ve bir “özgürlük, güvenlik ve adalet </w:t>
            </w:r>
            <w:proofErr w:type="spellStart"/>
            <w:r w:rsidRPr="006C03C8">
              <w:rPr>
                <w:rFonts w:ascii="Times New Roman" w:eastAsia="Times New Roman" w:hAnsi="Times New Roman" w:cs="Times New Roman"/>
                <w:sz w:val="24"/>
                <w:szCs w:val="24"/>
                <w:lang w:eastAsia="tr-TR"/>
              </w:rPr>
              <w:t>alanı”nın</w:t>
            </w:r>
            <w:proofErr w:type="spellEnd"/>
            <w:r w:rsidRPr="006C03C8">
              <w:rPr>
                <w:rFonts w:ascii="Times New Roman" w:eastAsia="Times New Roman" w:hAnsi="Times New Roman" w:cs="Times New Roman"/>
                <w:sz w:val="24"/>
                <w:szCs w:val="24"/>
                <w:lang w:eastAsia="tr-TR"/>
              </w:rPr>
              <w:t xml:space="preserve"> kurulması yönünde ilk adımlar</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*Üye devletlerin istihdam politikalarının koordinasyonu alanında AB’nin yetkilendirilmesi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*Ortak dışişleri ve güvenlik politikasının yürütülmesinden sorumlu bir yüksek temsilcilik makamının tesisi ve Bakanlar Konseyi Genel Sekreterinin bu görevi üstlenmesi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*ODGP alanında “yapıcı çekimserlik” ve “hayati ulusal çıkar iddiası” ilkelerinin getirilmesi</w:t>
            </w:r>
          </w:p>
        </w:tc>
      </w:tr>
    </w:tbl>
    <w:p w:rsidR="006C03C8" w:rsidRPr="006C03C8" w:rsidRDefault="006C03C8" w:rsidP="006C03C8">
      <w:pPr>
        <w:spacing w:before="100" w:beforeAutospacing="1" w:after="100" w:afterAutospacing="1" w:line="240" w:lineRule="auto"/>
        <w:ind w:left="397"/>
        <w:jc w:val="both"/>
        <w:rPr>
          <w:rFonts w:ascii="Times New Roman" w:eastAsia="Times New Roman" w:hAnsi="Times New Roman" w:cs="Times New Roman"/>
          <w:sz w:val="24"/>
          <w:szCs w:val="24"/>
          <w:lang w:eastAsia="tr-TR"/>
        </w:rPr>
      </w:pPr>
    </w:p>
    <w:p w:rsidR="006C03C8" w:rsidRPr="006C03C8" w:rsidRDefault="006C03C8" w:rsidP="006C03C8">
      <w:pPr>
        <w:keepNext/>
        <w:spacing w:before="100" w:beforeAutospacing="1" w:after="100" w:afterAutospacing="1" w:line="240" w:lineRule="auto"/>
        <w:ind w:firstLine="397"/>
        <w:jc w:val="both"/>
        <w:rPr>
          <w:rFonts w:ascii="Times New Roman" w:eastAsia="Times New Roman" w:hAnsi="Times New Roman" w:cs="Times New Roman"/>
          <w:b/>
          <w:sz w:val="24"/>
          <w:szCs w:val="24"/>
          <w:lang w:eastAsia="tr-TR"/>
        </w:rPr>
      </w:pPr>
      <w:bookmarkStart w:id="6" w:name="_Toc496626932"/>
      <w:r w:rsidRPr="006C03C8">
        <w:rPr>
          <w:rFonts w:ascii="Times New Roman" w:eastAsia="Times New Roman" w:hAnsi="Times New Roman" w:cs="Times New Roman"/>
          <w:b/>
          <w:sz w:val="24"/>
          <w:szCs w:val="24"/>
          <w:lang w:eastAsia="tr-TR"/>
        </w:rPr>
        <w:t xml:space="preserve">Tablo </w:t>
      </w:r>
      <w:r w:rsidRPr="006C03C8">
        <w:rPr>
          <w:rFonts w:ascii="Times New Roman" w:eastAsia="Times New Roman" w:hAnsi="Times New Roman" w:cs="Times New Roman"/>
          <w:b/>
          <w:sz w:val="24"/>
          <w:szCs w:val="24"/>
          <w:lang w:eastAsia="tr-TR"/>
        </w:rPr>
        <w:fldChar w:fldCharType="begin"/>
      </w:r>
      <w:r w:rsidRPr="006C03C8">
        <w:rPr>
          <w:rFonts w:ascii="Times New Roman" w:eastAsia="Times New Roman" w:hAnsi="Times New Roman" w:cs="Times New Roman"/>
          <w:b/>
          <w:sz w:val="24"/>
          <w:szCs w:val="24"/>
          <w:lang w:eastAsia="tr-TR"/>
        </w:rPr>
        <w:instrText xml:space="preserve"> SEQ Tablo \* ARABIC </w:instrText>
      </w:r>
      <w:r w:rsidRPr="006C03C8">
        <w:rPr>
          <w:rFonts w:ascii="Times New Roman" w:eastAsia="Times New Roman" w:hAnsi="Times New Roman" w:cs="Times New Roman"/>
          <w:b/>
          <w:sz w:val="24"/>
          <w:szCs w:val="24"/>
          <w:lang w:eastAsia="tr-TR"/>
        </w:rPr>
        <w:fldChar w:fldCharType="separate"/>
      </w:r>
      <w:r w:rsidRPr="006C03C8">
        <w:rPr>
          <w:rFonts w:ascii="Times New Roman" w:eastAsia="Times New Roman" w:hAnsi="Times New Roman" w:cs="Times New Roman"/>
          <w:b/>
          <w:noProof/>
          <w:sz w:val="24"/>
          <w:szCs w:val="24"/>
          <w:lang w:eastAsia="tr-TR"/>
        </w:rPr>
        <w:t>6</w:t>
      </w:r>
      <w:r w:rsidRPr="006C03C8">
        <w:rPr>
          <w:rFonts w:ascii="Times New Roman" w:eastAsia="Times New Roman" w:hAnsi="Times New Roman" w:cs="Times New Roman"/>
          <w:b/>
          <w:noProof/>
          <w:sz w:val="24"/>
          <w:szCs w:val="24"/>
          <w:lang w:eastAsia="tr-TR"/>
        </w:rPr>
        <w:fldChar w:fldCharType="end"/>
      </w:r>
      <w:r w:rsidRPr="006C03C8">
        <w:rPr>
          <w:rFonts w:ascii="Times New Roman" w:eastAsia="Times New Roman" w:hAnsi="Times New Roman" w:cs="Times New Roman"/>
          <w:b/>
          <w:sz w:val="24"/>
          <w:szCs w:val="24"/>
          <w:lang w:eastAsia="tr-TR"/>
        </w:rPr>
        <w:t>: Nice Antlaşması (NA): 2001/2003</w:t>
      </w:r>
      <w:bookmarkEnd w:id="6"/>
    </w:p>
    <w:tbl>
      <w:tblPr>
        <w:tblStyle w:val="TabloKlavuzu"/>
        <w:tblW w:w="5000" w:type="pct"/>
        <w:tblLook w:val="04A0" w:firstRow="1" w:lastRow="0" w:firstColumn="1" w:lastColumn="0" w:noHBand="0" w:noVBand="1"/>
      </w:tblPr>
      <w:tblGrid>
        <w:gridCol w:w="4644"/>
        <w:gridCol w:w="4644"/>
      </w:tblGrid>
      <w:tr w:rsidR="006C03C8" w:rsidRPr="006C03C8" w:rsidTr="00143553">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b/>
                <w:sz w:val="24"/>
                <w:szCs w:val="24"/>
                <w:lang w:eastAsia="tr-TR"/>
              </w:rPr>
              <w:t>Derinleşme Aşamasına Giden Yol</w:t>
            </w: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b/>
                <w:sz w:val="24"/>
                <w:szCs w:val="24"/>
                <w:lang w:eastAsia="tr-TR"/>
              </w:rPr>
            </w:pPr>
            <w:r w:rsidRPr="006C03C8">
              <w:rPr>
                <w:rFonts w:ascii="Times New Roman" w:eastAsia="Times New Roman" w:hAnsi="Times New Roman" w:cs="Times New Roman"/>
                <w:b/>
                <w:sz w:val="24"/>
                <w:szCs w:val="24"/>
                <w:lang w:eastAsia="tr-TR"/>
              </w:rPr>
              <w:t>Derinleşme Aşamasının Getirdikleri</w:t>
            </w:r>
          </w:p>
        </w:tc>
      </w:tr>
      <w:tr w:rsidR="006C03C8" w:rsidRPr="006C03C8" w:rsidTr="00143553">
        <w:trPr>
          <w:trHeight w:val="880"/>
        </w:trPr>
        <w:tc>
          <w:tcPr>
            <w:tcW w:w="2500" w:type="pct"/>
            <w:vMerge w:val="restar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lastRenderedPageBreak/>
              <w:t>*Doğuya doğru büyük genişleme dalgası sonrası AB kurumsal yapısı ile ilgili temel saptamaların yapılması, politika alanlarında bazı mütevazı yenilikler ve Birliğin 21. yüzyıla hazırlanması ile ilgili sürecin başlatılması ihtiyacı</w:t>
            </w: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Kurumsal Değişiklikler</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Birliği kurumsal yapısının yeni genişleme dalgasına hazırlanması: bu çerçevede 27 üyeli bir birlik için</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-Komisyonun kompozisyonunun belirlenmesi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Parlamentosundaki sandalye dağılımının tespiti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-Bakanlar Konseyindeki oy ağırlıklarının belirlenmesi: nitelikli oyçokluğu yönteminin yeniden düzenlenmesi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-Yargı düzeni reformu: istisnalar saklı kalmak üzere İlk Derece Mahkemesinin genel yetkili mahkeme, Divanın genel temyiz makamı haline getirilmesi ve yargı panellerinin (uzmanlaşmış yargı daireleri) kurulması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*Avrupa Birliği karar süreçlerinin yeni genişleme dalgasına hazırlanması: nitelikli oyçokluğu ve ortak karar usulü uygulamalarının genişletilmesi</w:t>
            </w:r>
          </w:p>
        </w:tc>
      </w:tr>
      <w:tr w:rsidR="006C03C8" w:rsidRPr="006C03C8" w:rsidTr="00143553">
        <w:trPr>
          <w:trHeight w:val="880"/>
        </w:trPr>
        <w:tc>
          <w:tcPr>
            <w:tcW w:w="2500" w:type="pct"/>
            <w:vMerge/>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p>
        </w:tc>
        <w:tc>
          <w:tcPr>
            <w:tcW w:w="2500" w:type="pct"/>
          </w:tcPr>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Politika Alanındaki Değişiklikler</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*AB Temel Haklar Şartının (ABTHŞ) hazırlanması ve AB’nin siyasi kurumları (Parlamento, Konsey ve Komisyon) tarafından imzalanarak ilanı</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*Mevcut politika alanlarının geliştirilmesi</w:t>
            </w:r>
          </w:p>
          <w:p w:rsidR="006C03C8" w:rsidRPr="006C03C8" w:rsidRDefault="006C03C8" w:rsidP="006C03C8">
            <w:pPr>
              <w:spacing w:before="100" w:beforeAutospacing="1" w:after="100" w:afterAutospacing="1"/>
              <w:jc w:val="both"/>
              <w:rPr>
                <w:rFonts w:ascii="Times New Roman" w:eastAsia="Times New Roman" w:hAnsi="Times New Roman" w:cs="Times New Roman"/>
                <w:sz w:val="24"/>
                <w:szCs w:val="24"/>
                <w:lang w:eastAsia="tr-TR"/>
              </w:rPr>
            </w:pPr>
            <w:r w:rsidRPr="006C03C8">
              <w:rPr>
                <w:rFonts w:ascii="Times New Roman" w:eastAsia="Times New Roman" w:hAnsi="Times New Roman" w:cs="Times New Roman"/>
                <w:sz w:val="24"/>
                <w:szCs w:val="24"/>
                <w:lang w:eastAsia="tr-TR"/>
              </w:rPr>
              <w:t xml:space="preserve">*Antlaşmaya ekli “Avrupa Birliğinin geleceği” </w:t>
            </w:r>
            <w:proofErr w:type="gramStart"/>
            <w:r w:rsidRPr="006C03C8">
              <w:rPr>
                <w:rFonts w:ascii="Times New Roman" w:eastAsia="Times New Roman" w:hAnsi="Times New Roman" w:cs="Times New Roman"/>
                <w:sz w:val="24"/>
                <w:szCs w:val="24"/>
                <w:lang w:eastAsia="tr-TR"/>
              </w:rPr>
              <w:t>deklarasyonu</w:t>
            </w:r>
            <w:proofErr w:type="gramEnd"/>
            <w:r w:rsidRPr="006C03C8">
              <w:rPr>
                <w:rFonts w:ascii="Times New Roman" w:eastAsia="Times New Roman" w:hAnsi="Times New Roman" w:cs="Times New Roman"/>
                <w:sz w:val="24"/>
                <w:szCs w:val="24"/>
                <w:lang w:eastAsia="tr-TR"/>
              </w:rPr>
              <w:t xml:space="preserve"> ile Birliği AB anayasal antlaşmasına ve sonrasında da Lizbon Antlaşması’na götürecek sürece start verilmesi</w:t>
            </w:r>
          </w:p>
        </w:tc>
      </w:tr>
    </w:tbl>
    <w:p w:rsidR="007F07F1" w:rsidRDefault="007F07F1"/>
    <w:sectPr w:rsidR="007F0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FA" w:rsidRDefault="009B31FA" w:rsidP="00C9436B">
      <w:pPr>
        <w:spacing w:after="0" w:line="240" w:lineRule="auto"/>
      </w:pPr>
      <w:r>
        <w:separator/>
      </w:r>
    </w:p>
  </w:endnote>
  <w:endnote w:type="continuationSeparator" w:id="0">
    <w:p w:rsidR="009B31FA" w:rsidRDefault="009B31FA" w:rsidP="00C9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FA" w:rsidRDefault="009B31FA" w:rsidP="00C9436B">
      <w:pPr>
        <w:spacing w:after="0" w:line="240" w:lineRule="auto"/>
      </w:pPr>
      <w:r>
        <w:separator/>
      </w:r>
    </w:p>
  </w:footnote>
  <w:footnote w:type="continuationSeparator" w:id="0">
    <w:p w:rsidR="009B31FA" w:rsidRDefault="009B31FA" w:rsidP="00C94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F96823"/>
    <w:multiLevelType w:val="singleLevel"/>
    <w:tmpl w:val="FFFFFFFF"/>
    <w:lvl w:ilvl="0">
      <w:start w:val="1"/>
      <w:numFmt w:val="bullet"/>
      <w:lvlText w:val=""/>
      <w:legacy w:legacy="1" w:legacySpace="120" w:legacyIndent="360"/>
      <w:lvlJc w:val="left"/>
      <w:pPr>
        <w:ind w:left="360" w:hanging="360"/>
      </w:pPr>
      <w:rPr>
        <w:rFonts w:ascii="Symbol" w:hAnsi="Symbol" w:hint="default"/>
      </w:rPr>
    </w:lvl>
  </w:abstractNum>
  <w:abstractNum w:abstractNumId="2">
    <w:nsid w:val="1C6E56AD"/>
    <w:multiLevelType w:val="hybridMultilevel"/>
    <w:tmpl w:val="DC6C958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D2677F3"/>
    <w:multiLevelType w:val="hybridMultilevel"/>
    <w:tmpl w:val="5E9870AE"/>
    <w:lvl w:ilvl="0" w:tplc="F88CCE70">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53B6646"/>
    <w:multiLevelType w:val="hybridMultilevel"/>
    <w:tmpl w:val="DCB0C704"/>
    <w:lvl w:ilvl="0" w:tplc="FF7E20D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C540A9D"/>
    <w:multiLevelType w:val="hybridMultilevel"/>
    <w:tmpl w:val="D264F1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5F434ECF"/>
    <w:multiLevelType w:val="hybridMultilevel"/>
    <w:tmpl w:val="A08ED340"/>
    <w:lvl w:ilvl="0" w:tplc="FAFC3C32">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1"/>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CD"/>
    <w:rsid w:val="00094C8F"/>
    <w:rsid w:val="00215E30"/>
    <w:rsid w:val="006C03C8"/>
    <w:rsid w:val="006C4D8C"/>
    <w:rsid w:val="007F07F1"/>
    <w:rsid w:val="00815560"/>
    <w:rsid w:val="00852844"/>
    <w:rsid w:val="00877FA3"/>
    <w:rsid w:val="00944E44"/>
    <w:rsid w:val="009B31FA"/>
    <w:rsid w:val="00C9436B"/>
    <w:rsid w:val="00E1255E"/>
    <w:rsid w:val="00EC4513"/>
    <w:rsid w:val="00F85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 w:type="table" w:styleId="TabloKlavuzu">
    <w:name w:val="Table Grid"/>
    <w:basedOn w:val="NormalTablo"/>
    <w:uiPriority w:val="39"/>
    <w:rsid w:val="006C0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 w:type="table" w:styleId="TabloKlavuzu">
    <w:name w:val="Table Grid"/>
    <w:basedOn w:val="NormalTablo"/>
    <w:uiPriority w:val="39"/>
    <w:rsid w:val="006C0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3694</Words>
  <Characters>21060</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3</cp:revision>
  <dcterms:created xsi:type="dcterms:W3CDTF">2017-11-08T08:08:00Z</dcterms:created>
  <dcterms:modified xsi:type="dcterms:W3CDTF">2017-11-08T08:21:00Z</dcterms:modified>
</cp:coreProperties>
</file>