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2C" w:rsidRPr="001E142C" w:rsidRDefault="001E142C" w:rsidP="00657C51">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1E142C">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657C51" w:rsidRPr="00657C51" w:rsidRDefault="00657C51" w:rsidP="00657C51">
      <w:pPr>
        <w:pStyle w:val="ListeParagraf"/>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57C51">
        <w:rPr>
          <w:rFonts w:ascii="Times New Roman" w:eastAsia="Times New Roman" w:hAnsi="Times New Roman" w:cs="Times New Roman"/>
          <w:b/>
          <w:bCs/>
          <w:sz w:val="24"/>
          <w:szCs w:val="24"/>
          <w:lang w:eastAsia="tr-TR"/>
        </w:rPr>
        <w:t>AVRUPA BÜTÜNLEŞMESİNİN TARİHSEL GELİŞİMİ: DERİNLEŞME II</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57C51">
        <w:rPr>
          <w:rFonts w:ascii="Times New Roman" w:eastAsia="Times New Roman" w:hAnsi="Times New Roman" w:cs="Times New Roman"/>
          <w:b/>
          <w:color w:val="000000"/>
          <w:sz w:val="24"/>
          <w:szCs w:val="24"/>
          <w:lang w:eastAsia="tr-TR"/>
        </w:rPr>
        <w:t>Lizbon Antlaşması ve AB’nin Mevcut Yapısının Şekillenmesi</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color w:val="000000"/>
          <w:sz w:val="24"/>
          <w:szCs w:val="24"/>
          <w:lang w:eastAsia="tr-TR"/>
        </w:rPr>
        <w:t xml:space="preserve">13 Aralık 2007 tarihinde Lizbon’da AB üyesi devletler tarafından imzalanarak 1 Aralık 2009 itibariyle yürürlüğe giren Lizbon Antlaşması, Birliğin, 2000 Aralık ayından beri süren kurumsal işleyiş ve politika reformu çabalarının ulaştığı neticeyi oluşturmaktadır. </w:t>
      </w:r>
      <w:r w:rsidRPr="00657C51">
        <w:rPr>
          <w:rFonts w:ascii="Times New Roman" w:eastAsia="Times New Roman" w:hAnsi="Times New Roman" w:cs="Times New Roman"/>
          <w:sz w:val="24"/>
          <w:szCs w:val="24"/>
          <w:lang w:eastAsia="tr-TR"/>
        </w:rPr>
        <w:t>Ortaya çıkan metin, Avrupa Birliği’nin kurumsal yapısını özellikle genişleme sonrası daha fazla işlerliğe kavuş</w:t>
      </w:r>
      <w:bookmarkStart w:id="0" w:name="_GoBack"/>
      <w:bookmarkEnd w:id="0"/>
      <w:r w:rsidRPr="00657C51">
        <w:rPr>
          <w:rFonts w:ascii="Times New Roman" w:eastAsia="Times New Roman" w:hAnsi="Times New Roman" w:cs="Times New Roman"/>
          <w:sz w:val="24"/>
          <w:szCs w:val="24"/>
          <w:lang w:eastAsia="tr-TR"/>
        </w:rPr>
        <w:t xml:space="preserve">turmak ve Avrupa vatandaşları ile Birlik arasındaki uzaklığı kapatmak ve demokratik meşruiyeti güçlendirmek adına bazı reformlar içermektedir. </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color w:val="000000"/>
          <w:sz w:val="24"/>
          <w:szCs w:val="24"/>
          <w:lang w:eastAsia="tr-TR"/>
        </w:rPr>
        <w:t xml:space="preserve">Bu Antlaşma, diğer tüm kurucu antlaşma değişiklikleri gibi bir “tadil </w:t>
      </w:r>
      <w:proofErr w:type="spellStart"/>
      <w:r w:rsidRPr="00657C51">
        <w:rPr>
          <w:rFonts w:ascii="Times New Roman" w:eastAsia="Times New Roman" w:hAnsi="Times New Roman" w:cs="Times New Roman"/>
          <w:color w:val="000000"/>
          <w:sz w:val="24"/>
          <w:szCs w:val="24"/>
          <w:lang w:eastAsia="tr-TR"/>
        </w:rPr>
        <w:t>antlaşması”dır</w:t>
      </w:r>
      <w:proofErr w:type="spellEnd"/>
      <w:r w:rsidRPr="00657C51">
        <w:rPr>
          <w:rFonts w:ascii="Times New Roman" w:eastAsia="Times New Roman" w:hAnsi="Times New Roman" w:cs="Times New Roman"/>
          <w:color w:val="000000"/>
          <w:sz w:val="24"/>
          <w:szCs w:val="24"/>
          <w:lang w:eastAsia="tr-TR"/>
        </w:rPr>
        <w:t xml:space="preserve">. Lizbon Antlaşmasının esas bakımından kendisinden önce hazırlanan ancak üye devletlerde onay süreci tamamlanamayarak yürürlüğe giremeyen Anayasal Antlaşmayı büyük ölçüde karşıladığı; buna karşılık şekil ve söylem bakımından önemli farklılıklar içerdiği belirtilebilir. Kurumsal yapı ile ilgili en önemli ve gerekli addedilen Anayasal Antlaşma reformlarının Lizbon Antlaşmasında da yer aldığı görülmektedir. Esasen başarısızlıkla sonuçlanan “Anayasal Antlaşma” denemesinin de sadece adının “anayasa” olup, hukuki niteliğinin “uluslararası antlaşma” olduğu açıktır. Anayasal Antlaşmada yer alıp Birliğin bayrağına, marşına ve sloganına atıfta bulunan hükümler de Lizbon Antlaşmasında yer almamaktadır. Simgesel bakımdan önemli olarak değerlendirilebilecek bu isim, terim ve sloganların tam da bu nedenle önemli oldukları ve bir Avrupalılık aidiyeti ve bilinci oluşturma idealine, Birliğin siyasi niteliğine vurgu yapmaya yönelik nitelikleri olduğu göz ardı edilmemelidir. </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w:t xml:space="preserve">Niteliği itibariyle bir tadil antlaşması olan Lizbon Antlaşması, 1 ve 2. maddelerinde sırasıyla AB ve AT Antlaşmalarına dair değişikliklere yer vermekte, 3-7. maddelerinde son hükümler yer almakta, bunun yanında Antlaşmaya ekli çok sayıda protokol ve bildiri bulunmaktadır. Aşağıdaki açıklamalara ışık tutmak amacıyla, öncelikle Antlaşmanın Maastricht Antlaşmasıyla getirilen sütunlu yapıyı kaldırarak AB’yi tüzel kişiliğe sahip tek bir yapı haline getirdiğini belirtmek gerekir. Buna bağlı olarak, AT Antlaşmasının ismi, “AB’nin İşleyişi Hakkında Antlaşma olarak değiştirilmiş ve Antlaşmada kullanılan “Topluluk” teriminin yerini “Birlik” terimi almıştır. Bununla birlikte gerek AB Antlaşmasının gerekse AB’nin İşleyişi Hakkında Antlaşmanın ilk maddelerinde, iki Antlaşma arasında hiyerarşik bir ilişki bulunmadığı ve hukuken aynı değerde oldukları ifade edilmiştir. </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Birliğin tüzel kişiliğe kavuşmasının antlaşmalarda öngörülen yetkilerin ötesinde yasama işlemleri yapabileceği veya faaliyet gösterebileceği anlamına gelmeyeceği de Lizbon Antlaşmasında özellikle vurgulanmaktadır. Bundan başka, sütun yapısının ortadan kalkmasına rağmen, dış politika alanının </w:t>
      </w:r>
      <w:proofErr w:type="spellStart"/>
      <w:r w:rsidRPr="00657C51">
        <w:rPr>
          <w:rFonts w:ascii="Times New Roman" w:eastAsia="Times New Roman" w:hAnsi="Times New Roman" w:cs="Times New Roman"/>
          <w:sz w:val="24"/>
          <w:szCs w:val="24"/>
          <w:lang w:eastAsia="tr-TR"/>
        </w:rPr>
        <w:t>hükümetlerarası</w:t>
      </w:r>
      <w:proofErr w:type="spellEnd"/>
      <w:r w:rsidRPr="00657C51">
        <w:rPr>
          <w:rFonts w:ascii="Times New Roman" w:eastAsia="Times New Roman" w:hAnsi="Times New Roman" w:cs="Times New Roman"/>
          <w:sz w:val="24"/>
          <w:szCs w:val="24"/>
          <w:lang w:eastAsia="tr-TR"/>
        </w:rPr>
        <w:t xml:space="preserve"> niteliğinin büyük ölçüde korunduğu da görülmektedir.</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Lizbon Antlaşması metninde AB’nin kurumları için düşünülen değişikliklerin, genel olarak, 2009 yılında yapılacak Avrupa Parlamentosu seçimlerinin ardından, 1 Kasım 2009 tarihinden itibaren, aşamalı bir biçimde yürürlüğe girmesi planlanmıştır. Lizbon Antlaşmasının onayı sürecinde İrlanda’da yaşanan olumsuzlukların aşılmasının ardından bu </w:t>
      </w:r>
      <w:r w:rsidRPr="00657C51">
        <w:rPr>
          <w:rFonts w:ascii="Times New Roman" w:eastAsia="Times New Roman" w:hAnsi="Times New Roman" w:cs="Times New Roman"/>
          <w:sz w:val="24"/>
          <w:szCs w:val="24"/>
          <w:lang w:eastAsia="tr-TR"/>
        </w:rPr>
        <w:lastRenderedPageBreak/>
        <w:t>tarih bugün için 1 Aralık 2009 olarak belirlenmiştir. Birliğin yapısı bakımından önemli değişikliklerin bir kısmı aşağıda incelenmektedir.</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bCs/>
          <w:iCs/>
          <w:sz w:val="24"/>
          <w:szCs w:val="24"/>
          <w:lang w:eastAsia="tr-TR"/>
        </w:rPr>
        <w:t>AB’nin Kurumları</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Lizbon Antlaşmasında Avrupa Birliği’nin, amaçlarını ve değerlerini gerçekleştirip geliştirecek ve Birliğin, vatandaşlarının ve üye devletlerinin çıkarlarına hizmet edecek tek bir kurumsal çerçeveye sahip olacağı öngörülmektedir. Bu kurumsal yapının da Avrupa Parlamentosu, Avrupa Birliği Hükümet ve Devlet Başkanları Konseyi (AB Zirvesi), AB (Bakanlar) Konseyi, Avrupa Komisyonu, Avrupa Birliği Adalet Divanı, Avrupa </w:t>
      </w:r>
      <w:proofErr w:type="spellStart"/>
      <w:r w:rsidRPr="00657C51">
        <w:rPr>
          <w:rFonts w:ascii="Times New Roman" w:eastAsia="Times New Roman" w:hAnsi="Times New Roman" w:cs="Times New Roman"/>
          <w:sz w:val="24"/>
          <w:szCs w:val="24"/>
          <w:lang w:eastAsia="tr-TR"/>
        </w:rPr>
        <w:t>Sayıştayı</w:t>
      </w:r>
      <w:proofErr w:type="spellEnd"/>
      <w:r w:rsidRPr="00657C51">
        <w:rPr>
          <w:rFonts w:ascii="Times New Roman" w:eastAsia="Times New Roman" w:hAnsi="Times New Roman" w:cs="Times New Roman"/>
          <w:sz w:val="24"/>
          <w:szCs w:val="24"/>
          <w:lang w:eastAsia="tr-TR"/>
        </w:rPr>
        <w:t xml:space="preserve"> ve Avrupa Merkez Bankasından oluşacağı belirtilmektedir. Söz konusu kurumlar, daha önce de olduğu gibi, sınırlı yetki ilkesine tabi olarak, bu </w:t>
      </w:r>
      <w:proofErr w:type="spellStart"/>
      <w:r w:rsidRPr="00657C51">
        <w:rPr>
          <w:rFonts w:ascii="Times New Roman" w:eastAsia="Times New Roman" w:hAnsi="Times New Roman" w:cs="Times New Roman"/>
          <w:sz w:val="24"/>
          <w:szCs w:val="24"/>
          <w:lang w:eastAsia="tr-TR"/>
        </w:rPr>
        <w:t>Antlaşma’da</w:t>
      </w:r>
      <w:proofErr w:type="spellEnd"/>
      <w:r w:rsidRPr="00657C51">
        <w:rPr>
          <w:rFonts w:ascii="Times New Roman" w:eastAsia="Times New Roman" w:hAnsi="Times New Roman" w:cs="Times New Roman"/>
          <w:sz w:val="24"/>
          <w:szCs w:val="24"/>
          <w:lang w:eastAsia="tr-TR"/>
        </w:rPr>
        <w:t xml:space="preserve"> öngörülen </w:t>
      </w:r>
      <w:proofErr w:type="gramStart"/>
      <w:r w:rsidRPr="00657C51">
        <w:rPr>
          <w:rFonts w:ascii="Times New Roman" w:eastAsia="Times New Roman" w:hAnsi="Times New Roman" w:cs="Times New Roman"/>
          <w:sz w:val="24"/>
          <w:szCs w:val="24"/>
          <w:lang w:eastAsia="tr-TR"/>
        </w:rPr>
        <w:t>prosedür</w:t>
      </w:r>
      <w:proofErr w:type="gramEnd"/>
      <w:r w:rsidRPr="00657C51">
        <w:rPr>
          <w:rFonts w:ascii="Times New Roman" w:eastAsia="Times New Roman" w:hAnsi="Times New Roman" w:cs="Times New Roman"/>
          <w:sz w:val="24"/>
          <w:szCs w:val="24"/>
          <w:lang w:eastAsia="tr-TR"/>
        </w:rPr>
        <w:t xml:space="preserve"> ve koşullara uygun biçimde faaliyetlerini yerine getireceklerdir.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i/>
          <w:sz w:val="24"/>
          <w:szCs w:val="24"/>
          <w:lang w:eastAsia="tr-TR"/>
        </w:rPr>
        <w:t>Avrupa Parlamentosu</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Avrupa Parlamentosu, AB (Bakanlar) Konseyi ile birlikte yasama organı olarak çalışacak, bütçe görevlerinin yanı sıra Antlaşmada öngörüldüğü şekliyle siyasi denetim ve danışma görevlerini sürdürecektir. Lizbon Antlaşmasının yürürlüğe girmesiyle birlikte yasama ve bütçeye ilişkin faaliyetlerde, uluslararası anlaşmaların imzalanmasında, Kurucu Antlaşmaların değiştirilmesinde,  yetki devrine dayalı tasarrufların kabulünde ve diğer kurumlara atamalarda sahip olduğu yetkileri güçlenecektir. </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Önceden olduğu gibi 5 yıllık bir dönem için doğrudan genel oyla seçilecek ve üye devletlerin nüfusları oranında parlamenter bulundurabilecekleri Avrupa Parlamentosu üyelerinin sayısının son yapılan değişikliklerle 750’yi aşmaması öngörülmüştür. Parlamento Başkanı bu toplama </w:t>
      </w:r>
      <w:proofErr w:type="gramStart"/>
      <w:r w:rsidRPr="00657C51">
        <w:rPr>
          <w:rFonts w:ascii="Times New Roman" w:eastAsia="Times New Roman" w:hAnsi="Times New Roman" w:cs="Times New Roman"/>
          <w:sz w:val="24"/>
          <w:szCs w:val="24"/>
          <w:lang w:eastAsia="tr-TR"/>
        </w:rPr>
        <w:t>dahil</w:t>
      </w:r>
      <w:proofErr w:type="gramEnd"/>
      <w:r w:rsidRPr="00657C51">
        <w:rPr>
          <w:rFonts w:ascii="Times New Roman" w:eastAsia="Times New Roman" w:hAnsi="Times New Roman" w:cs="Times New Roman"/>
          <w:sz w:val="24"/>
          <w:szCs w:val="24"/>
          <w:lang w:eastAsia="tr-TR"/>
        </w:rPr>
        <w:t xml:space="preserve"> edilmeyecektir. Bu 750 üyenin dağılımı bakımından üye devletler, azalan orantılı temsil ilkesi çerçevesinde en çok 96, en az 6 parlamenter ile temsil edilecektir. </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i/>
          <w:sz w:val="24"/>
          <w:szCs w:val="24"/>
          <w:lang w:eastAsia="tr-TR"/>
        </w:rPr>
      </w:pPr>
      <w:r w:rsidRPr="00657C51">
        <w:rPr>
          <w:rFonts w:ascii="Times New Roman" w:eastAsia="Times New Roman" w:hAnsi="Times New Roman" w:cs="Times New Roman"/>
          <w:b/>
          <w:i/>
          <w:sz w:val="24"/>
          <w:szCs w:val="24"/>
          <w:lang w:eastAsia="tr-TR"/>
        </w:rPr>
        <w:t>Avrupa Birliği Devlet ve Hükümet Başkanları Konseyi (AB Zirvesi)</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Zirvesi, üye ülke devlet ve hükümet başkanlarının yanı sıra AB Devlet ve Hükümet Başkanları Konseyi</w:t>
      </w:r>
      <w:r w:rsidRPr="00657C51">
        <w:rPr>
          <w:rFonts w:ascii="Times New Roman" w:eastAsia="Times New Roman" w:hAnsi="Times New Roman" w:cs="Times New Roman"/>
          <w:i/>
          <w:sz w:val="24"/>
          <w:szCs w:val="24"/>
          <w:lang w:eastAsia="tr-TR"/>
        </w:rPr>
        <w:t xml:space="preserve"> </w:t>
      </w:r>
      <w:r w:rsidRPr="00657C51">
        <w:rPr>
          <w:rFonts w:ascii="Times New Roman" w:eastAsia="Times New Roman" w:hAnsi="Times New Roman" w:cs="Times New Roman"/>
          <w:sz w:val="24"/>
          <w:szCs w:val="24"/>
          <w:lang w:eastAsia="tr-TR"/>
        </w:rPr>
        <w:t xml:space="preserve">(Zirve) Başkanı ve Avrupa Komisyonu Başkanının katılımıyla oluşacak olup, </w:t>
      </w:r>
      <w:r w:rsidRPr="00657C51">
        <w:rPr>
          <w:rFonts w:ascii="Times New Roman" w:eastAsia="Times New Roman" w:hAnsi="Times New Roman" w:cs="Times New Roman"/>
          <w:color w:val="000000"/>
          <w:sz w:val="24"/>
          <w:szCs w:val="24"/>
          <w:lang w:eastAsia="tr-TR"/>
        </w:rPr>
        <w:t>“Birlik Dışişleri ve Güvenlik Politikası Yüksek Temsilcisi”</w:t>
      </w:r>
      <w:r w:rsidRPr="00657C51">
        <w:rPr>
          <w:rFonts w:ascii="Times New Roman" w:eastAsia="Times New Roman" w:hAnsi="Times New Roman" w:cs="Times New Roman"/>
          <w:sz w:val="24"/>
          <w:szCs w:val="24"/>
          <w:lang w:eastAsia="tr-TR"/>
        </w:rPr>
        <w:t xml:space="preserve"> de işleyişine katılacaktır. Zirvenin bir yasama organı olmama niteliği muhafaza edilmektedir. Zirvede kararlar eskiden de olduğu gibi kural olarak mutabakatla alınacaktır. Zirvenin kural olarak her altı ayda iki defa toplanması öngörülmektedir. Zirvede bugün için uygulanmakta olan, </w:t>
      </w:r>
      <w:r w:rsidRPr="00657C51">
        <w:rPr>
          <w:rFonts w:ascii="Times New Roman" w:eastAsia="Times New Roman" w:hAnsi="Times New Roman" w:cs="Times New Roman"/>
          <w:color w:val="000000"/>
          <w:sz w:val="24"/>
          <w:szCs w:val="24"/>
          <w:lang w:eastAsia="tr-TR"/>
        </w:rPr>
        <w:t>altı aylık dönüşümlü dönem başkanlığı yerine, zirveleri ve gündemi hazırlayacak ve iki buçuk yıllık yenilenebilir biçimde en fazla beş yıl görevde kalacak bir “</w:t>
      </w:r>
      <w:proofErr w:type="spellStart"/>
      <w:r w:rsidRPr="00657C51">
        <w:rPr>
          <w:rFonts w:ascii="Times New Roman" w:eastAsia="Times New Roman" w:hAnsi="Times New Roman" w:cs="Times New Roman"/>
          <w:color w:val="000000"/>
          <w:sz w:val="24"/>
          <w:szCs w:val="24"/>
          <w:lang w:eastAsia="tr-TR"/>
        </w:rPr>
        <w:t>Başkan”ın</w:t>
      </w:r>
      <w:proofErr w:type="spellEnd"/>
      <w:r w:rsidRPr="00657C51">
        <w:rPr>
          <w:rFonts w:ascii="Times New Roman" w:eastAsia="Times New Roman" w:hAnsi="Times New Roman" w:cs="Times New Roman"/>
          <w:color w:val="000000"/>
          <w:sz w:val="24"/>
          <w:szCs w:val="24"/>
          <w:lang w:eastAsia="tr-TR"/>
        </w:rPr>
        <w:t xml:space="preserve"> </w:t>
      </w:r>
      <w:r w:rsidRPr="00657C51">
        <w:rPr>
          <w:rFonts w:ascii="Times New Roman" w:eastAsia="Times New Roman" w:hAnsi="Times New Roman" w:cs="Times New Roman"/>
          <w:sz w:val="24"/>
          <w:szCs w:val="24"/>
          <w:lang w:eastAsia="tr-TR"/>
        </w:rPr>
        <w:t xml:space="preserve">nitelikli çoğunlukla </w:t>
      </w:r>
      <w:r w:rsidRPr="00657C51">
        <w:rPr>
          <w:rFonts w:ascii="Times New Roman" w:eastAsia="Times New Roman" w:hAnsi="Times New Roman" w:cs="Times New Roman"/>
          <w:color w:val="000000"/>
          <w:sz w:val="24"/>
          <w:szCs w:val="24"/>
          <w:lang w:eastAsia="tr-TR"/>
        </w:rPr>
        <w:t>atanması öngörülmüştür.</w:t>
      </w:r>
      <w:r w:rsidRPr="00657C51">
        <w:rPr>
          <w:rFonts w:ascii="Times New Roman" w:eastAsia="Times New Roman" w:hAnsi="Times New Roman" w:cs="Times New Roman"/>
          <w:sz w:val="24"/>
          <w:szCs w:val="24"/>
          <w:lang w:eastAsia="tr-TR"/>
        </w:rPr>
        <w:t xml:space="preserve"> </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57C51">
        <w:rPr>
          <w:rFonts w:ascii="Times New Roman" w:eastAsia="Times New Roman" w:hAnsi="Times New Roman" w:cs="Times New Roman"/>
          <w:sz w:val="24"/>
          <w:szCs w:val="24"/>
          <w:lang w:eastAsia="tr-TR"/>
        </w:rPr>
        <w:t xml:space="preserve">Zirve başkanı, Zirve toplantılarına başkanlık etmek ve katkıda bulunmak; Komisyon başkanı ile işbirliği içerisinde ve Genel İşler Konseyi çalışmalarını esas alarak Zirve çalışmalarının yapılmasını ve devamlılığını sağlamak; Zirve üyeleri arasında uyum ve mutabakatın sağlanmasına çalışmak ve her Zirve toplantısı sonunda Avrupa Parlamentosuna rapor sunmak gibi yetki ve görevlere sahip olacaktır. </w:t>
      </w:r>
      <w:proofErr w:type="gramEnd"/>
      <w:r w:rsidRPr="00657C51">
        <w:rPr>
          <w:rFonts w:ascii="Times New Roman" w:eastAsia="Times New Roman" w:hAnsi="Times New Roman" w:cs="Times New Roman"/>
          <w:sz w:val="24"/>
          <w:szCs w:val="24"/>
          <w:lang w:eastAsia="tr-TR"/>
        </w:rPr>
        <w:t xml:space="preserve">Zirve başkanının, herhangi bir ulusal görevde bulunmaması ve Birlik Dışişleri ve Güvenlik Politikası Yüksek Temsilcisinin yetkilerine halel getirmemek şartıyla, ortak dışişleri ve güvenlik politikası bakımından Birliği dışa karşı temsil etmesi öngörülmüştür. Dolayısıyla, Başkanının en önemli işlevlerinden biri, uluslararası platformda AB’yi temsil etmek olacaktır. Ancak “Başkan” üye devletler </w:t>
      </w:r>
      <w:r w:rsidRPr="00657C51">
        <w:rPr>
          <w:rFonts w:ascii="Times New Roman" w:eastAsia="Times New Roman" w:hAnsi="Times New Roman" w:cs="Times New Roman"/>
          <w:sz w:val="24"/>
          <w:szCs w:val="24"/>
          <w:lang w:eastAsia="tr-TR"/>
        </w:rPr>
        <w:lastRenderedPageBreak/>
        <w:t>tarafından atama ile göreve gelecek ve büyük ölçüde simgesel bir görev icra edecek olup, Avrupa Birliği, başkanlık hükümet sistemlerinde olduğu tarzda bir başkana sahip olacak değildir.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i/>
          <w:sz w:val="24"/>
          <w:szCs w:val="24"/>
          <w:lang w:eastAsia="tr-TR"/>
        </w:rPr>
      </w:pPr>
      <w:r w:rsidRPr="00657C51">
        <w:rPr>
          <w:rFonts w:ascii="Times New Roman" w:eastAsia="Times New Roman" w:hAnsi="Times New Roman" w:cs="Times New Roman"/>
          <w:b/>
          <w:i/>
          <w:sz w:val="24"/>
          <w:szCs w:val="24"/>
          <w:lang w:eastAsia="tr-TR"/>
        </w:rPr>
        <w:t>Avrupa Birliği (Bakanlar) Konseyi</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Lizbon Antlaşmasında Konseyin yetkisi ile oluşum şekilleri ve Konseyde oylama usullerine dair düzenlemelere yer verilmiştir. Burada Konseyin görev ve yetkileri, “Parlamento ile birlikte yasamaya ve bütçeye ilişkin faaliyetler” ile “Antlaşmada belirtildiği şekilde politika oluşturma ve koordinasyonu yerine getirmek” olarak düzenlenmiştir. Konseyin, “üye ülkelerin, oy kullanmaya yetkili bakan seviyesindeki temsilcilerinden oluşacağı” da Antlaşmanın aynı maddesinde hükme bağlamıştır. Bu anlamda mevcut düzenlemelerden herhangi bir farklılık söz konusu değildir. </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Dolayısıyla AB (Bakanlar) Konseyinin görev ve yetkilerinde önemli bir değişiklik olmamıştır. Avrupa Parlamentosu ile birlikte yasama işlevini ve bütçe yapma görevini yerine getirmeye devam edecektir. Kararları nitelikli çoğunlukla alması öngörülmüştür. Bu çerçevede oybirliği uygulaması da ancak istisna niteliğini taşıyacak, Lizbon Antlaşmasında açıkça belirtilmesi halinde bu yönteme başvurulacaktır. AB Konseyi “Genel İşler Konseyi” ve “Dışişleri Konseyi” adı altında ayrı kompozisyonlarla toplanacak; bunlara yenileri eklenebilecektir. Bu çerçevede Genel İşleri Konseyinin Yasama Konseyi olarak faaliyet göstermesi öngörülmektedir. AB Konseyi’nin Başkanlığı görevi, </w:t>
      </w:r>
      <w:r w:rsidRPr="00657C51">
        <w:rPr>
          <w:rFonts w:ascii="Times New Roman" w:eastAsia="Times New Roman" w:hAnsi="Times New Roman" w:cs="Times New Roman"/>
          <w:color w:val="000000"/>
          <w:sz w:val="24"/>
          <w:szCs w:val="24"/>
          <w:lang w:eastAsia="tr-TR"/>
        </w:rPr>
        <w:t xml:space="preserve">“Birlik Dışişleri ve Güvenlik Politikası Yüksek Temsilcisi” </w:t>
      </w:r>
      <w:r w:rsidRPr="00657C51">
        <w:rPr>
          <w:rFonts w:ascii="Times New Roman" w:eastAsia="Times New Roman" w:hAnsi="Times New Roman" w:cs="Times New Roman"/>
          <w:sz w:val="24"/>
          <w:szCs w:val="24"/>
          <w:lang w:eastAsia="tr-TR"/>
        </w:rPr>
        <w:t>tarafından yürütülecek Dışişleri Konseyi haricinde, 18 aylık sürelerle 3 üye devletten oluşan takımlar halinde rotasyon usulüyle yerine getirilecektir.</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w:t xml:space="preserve">Rotasyon prensibinin ne şekilde işleyeceğine ilişkin Bildiri uyarınca Dışişleri Konseyi dışındaki Konsey başkanlıkları, önceden belirlenmiş ve üç üye ülkeden oluşan takımlar tarafından 18 aylık bir süre için üstlenilecektir. Söz konusu takımların belirlenmesinde eşit rotasyon usulü uygulanırken, üye ülkeler arasındaki farklılıklar ve Birlik içerisindeki coğrafi denge göz önünde bulundurulacaktır. Bu takımlara dâhil her üye devlet, Dışişleri Konseyi dışındaki Konseylere altı aylık bir süre için başkanlık edecek, takımı oluşturan diğer üye ülkeler, başkanlığı elinde bulunduran üye ülkeye tüm sorumluluklarında, ortak bir program dâhilinde yardımcı olmakla yükümlü olacaklardır. Takımları oluşturan üye ülkelerin, kendi aralarında alternatif düzenlemeler yapabileceği de aynı düzenleme ile kabul edilmektedir. </w:t>
      </w:r>
    </w:p>
    <w:p w:rsidR="00657C51" w:rsidRPr="00657C51" w:rsidRDefault="00657C51" w:rsidP="00657C51">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Bunların dışında Konseyin işleyişi ile ilgili önemli bir yenilik, Konseyin, yasama tasarruflarına ilişkin müzakere ve oylamalar sırasında kamuya açık şekilde faaliyet göstereceğine dair getirilen düzenlemedir. Bu itibarla, her Konsey toplantısının Birliğin yasama tasarruflarına ilişkin olan ve olmayan tartışmalar olmak üzere ikiye ayrılması öngörülmüştür. Konseyin kamuya açık şekilde toplanmasının Antlaşmaya dâhil edilmesi, Konsey çalışmalarında şeffaflığın sağlanması bakımından önemli bir adım olarak nitelendirilmelidir.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i/>
          <w:sz w:val="24"/>
          <w:szCs w:val="24"/>
          <w:lang w:eastAsia="tr-TR"/>
        </w:rPr>
      </w:pPr>
      <w:r w:rsidRPr="00657C51">
        <w:rPr>
          <w:rFonts w:ascii="Times New Roman" w:eastAsia="Times New Roman" w:hAnsi="Times New Roman" w:cs="Times New Roman"/>
          <w:b/>
          <w:i/>
          <w:sz w:val="24"/>
          <w:szCs w:val="24"/>
          <w:lang w:eastAsia="tr-TR"/>
        </w:rPr>
        <w:t>Avrupa Komisyonu</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2014 yılına dek AB’ye üye her devletin Komisyonda bir komiser bulundurması, 2014 tarihinden sonra ise üye devlet sayısının 2/3’ü oranında (muhtemelen 18 ya da 20) komiserden oluşan bir yapıya geçilmesi üzerinde uzlaşılmıştı. Bu alanda üye </w:t>
      </w:r>
      <w:proofErr w:type="gramStart"/>
      <w:r w:rsidRPr="00657C51">
        <w:rPr>
          <w:rFonts w:ascii="Times New Roman" w:eastAsia="Times New Roman" w:hAnsi="Times New Roman" w:cs="Times New Roman"/>
          <w:sz w:val="24"/>
          <w:szCs w:val="24"/>
          <w:lang w:eastAsia="tr-TR"/>
        </w:rPr>
        <w:t>devletler arasında</w:t>
      </w:r>
      <w:proofErr w:type="gramEnd"/>
      <w:r w:rsidRPr="00657C51">
        <w:rPr>
          <w:rFonts w:ascii="Times New Roman" w:eastAsia="Times New Roman" w:hAnsi="Times New Roman" w:cs="Times New Roman"/>
          <w:sz w:val="24"/>
          <w:szCs w:val="24"/>
          <w:lang w:eastAsia="tr-TR"/>
        </w:rPr>
        <w:t xml:space="preserve"> eşitliğe dayalı, demografik ve coğrafi konumlarını yansıtan bir rotasyon sisteminin benimsenmesi hükmü Lizbon Antlaşmasında yer almakla birlikte sistemin işleyiş esaslarının daha sonra </w:t>
      </w:r>
      <w:r w:rsidRPr="00657C51">
        <w:rPr>
          <w:rFonts w:ascii="Times New Roman" w:eastAsia="Times New Roman" w:hAnsi="Times New Roman" w:cs="Times New Roman"/>
          <w:sz w:val="24"/>
          <w:szCs w:val="24"/>
          <w:lang w:eastAsia="tr-TR"/>
        </w:rPr>
        <w:lastRenderedPageBreak/>
        <w:t>düzenleneceği belirtilmekteydi. Ancak, İrlanda’da 2008 Haziranında yapılan referandumun olumsuz sonuçlanması üzerine, İrlanda halkını ikna etmek için bulunan çözümlerden biri, her üye devlete bir Komiser uygulamasına devam etmek olarak öngörülmüştür. Dolayısıyla bu alanda mevcut uygulama olan her üye devletten bir komisyon üyesi uygulaması öngörülebilir gelecekte korunacaktır.</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57C51">
        <w:rPr>
          <w:rFonts w:ascii="Times New Roman" w:eastAsia="Times New Roman" w:hAnsi="Times New Roman" w:cs="Times New Roman"/>
          <w:sz w:val="24"/>
          <w:szCs w:val="24"/>
          <w:lang w:eastAsia="tr-TR"/>
        </w:rPr>
        <w:t>Komisyonun yetki ve görevlerinde ise önemli bir değişikliğe yer verilmemekte; bağımsız çalışacağı, siyasi bakımdan Avrupa Parlamentosuna tabi olacağı ve Parlamento tarafından güvensizlik oyuyla heyet halinde görevden alınabileceği; yürütme, idari denetim, bütçenin ve fonların uygulanması, yasama önerilerini hazırlama gibi konularda yetkili ve görevli olacağı şeklindeki hali hazırdaki konumu büyük ölçüde korunmaktadır.</w:t>
      </w:r>
      <w:proofErr w:type="gramEnd"/>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Avrupa Komisyonu Başkanının atanma yönteminde ise önemli bir değişikliğe gidilerek Komisyona bir ölçüde de olsa demokratik meşruiyet ve siyasi eğilim kazandırma çabasına girişildiği göze çarpmaktadır. Bu çerçevede, Komisyon Başkanı, Zirve tarafından nitelikli çoğunlukla Avrupa Parlamentosu seçimlerindeki siyasi eğilimler dikkate alındıktan ve gerekli danışmalarda bulunulduktan sonra belirlenecek bir adayın Avrupa Parlamentosuna sunulması ve Parlamentonun üyelerinin çoğunluğu ile bu kişiyi seçmesi ile göreve başlayacaktır. Dolayısıyla, 2009 yılındaki Avrupa Parlamentosu seçimlerinin ardından Zirve’nin nitelikli çoğunlukla Avrupa Komisyonu Başkanı adayını Parlamentoya bildirmesi, bu adayın Parlamentodan onay alması halinde Komisyon başkanlığı görevini 5 yıl için üstlenmesi öngörülmüştür. Komisyon üyeleri ise Komisyon Başkanı ile danışma halinde, üye devletlerin belirleyeceği adayların heyet halinde Avrupa Parlamentosunun onayına sunulması ve Konsey tarafından nitelikli çoğunlukla atanmasıyla göreve gelecektir.</w:t>
      </w:r>
    </w:p>
    <w:p w:rsidR="00657C51" w:rsidRPr="00657C51" w:rsidRDefault="00657C51" w:rsidP="00657C51">
      <w:pPr>
        <w:spacing w:before="100" w:beforeAutospacing="1" w:after="100" w:afterAutospacing="1" w:line="240" w:lineRule="auto"/>
        <w:ind w:left="12" w:firstLine="696"/>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Lizbon Antlaşmasında getirilen yeniliklerle hem Komisyon Başkanının yetki ve sorumluluğu ulus devletlerdeki başbakanlık makamına biraz daha benzetilmeye çalışılmış, hem de Başkanın bir ölçüde de olsa Avrupa Parlamentosu tarafından seçilmesi ve atanmasıyla Komisyonun tamamının ve genel olarak Avrupa bütünleşmesinin demokratik tabanı ve demokratik meşruiyeti artırılmış olmaktadır. Ancak yine de son tahlilde Komisyonun atama ile göreve gelen bir organ olma niteliği büyük ölçüde korunmaktadır.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i/>
          <w:iCs/>
          <w:color w:val="000000"/>
          <w:sz w:val="24"/>
          <w:szCs w:val="24"/>
          <w:lang w:eastAsia="tr-TR"/>
        </w:rPr>
        <w:t>Birlik Dışişleri ve Güvenlik Politikası Yüksek Temsilcisi</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sz w:val="24"/>
          <w:szCs w:val="24"/>
          <w:lang w:eastAsia="tr-TR"/>
        </w:rPr>
        <w:t xml:space="preserve">Zirvenin, nitelikli çoğunlukla Avrupa Komisyonu Başkanının da görüşünü alarak bir </w:t>
      </w:r>
      <w:r w:rsidRPr="00657C51">
        <w:rPr>
          <w:rFonts w:ascii="Times New Roman" w:eastAsia="Times New Roman" w:hAnsi="Times New Roman" w:cs="Times New Roman"/>
          <w:color w:val="000000"/>
          <w:sz w:val="24"/>
          <w:szCs w:val="24"/>
          <w:lang w:eastAsia="tr-TR"/>
        </w:rPr>
        <w:t xml:space="preserve">“Birlik Dışişleri ve Güvenlik Politikası Yüksek Temsilcisi” </w:t>
      </w:r>
      <w:r w:rsidRPr="00657C51">
        <w:rPr>
          <w:rFonts w:ascii="Times New Roman" w:eastAsia="Times New Roman" w:hAnsi="Times New Roman" w:cs="Times New Roman"/>
          <w:sz w:val="24"/>
          <w:szCs w:val="24"/>
          <w:lang w:eastAsia="tr-TR"/>
        </w:rPr>
        <w:t xml:space="preserve">ataması öngörülmüştür. Böylece, </w:t>
      </w:r>
      <w:r w:rsidRPr="00657C51">
        <w:rPr>
          <w:rFonts w:ascii="Times New Roman" w:eastAsia="Times New Roman" w:hAnsi="Times New Roman" w:cs="Times New Roman"/>
          <w:color w:val="000000"/>
          <w:sz w:val="24"/>
          <w:szCs w:val="24"/>
          <w:lang w:eastAsia="tr-TR"/>
        </w:rPr>
        <w:t xml:space="preserve">Anayasal Antlaşmada öngörülen “Birlik Dışişleri Bakanı” makamı ve yetkileri korunurken, adı “Birlik Dışişleri ve Güvenlik Politikası Yüksek Temsilcisi” olarak değiştirilecektir. Üye devletlerin önemli bir bölümünü rahatsız eden “Dışişleri Bakanı” terimi böylece terk edilmektedir. Dış politika konusundaki temel yetkinin ve sorumluluğun üye devletlere ait olduğu ile Ortak Dışişleri ve Güvenlik Politikasının ve bu alandaki </w:t>
      </w:r>
      <w:proofErr w:type="gramStart"/>
      <w:r w:rsidRPr="00657C51">
        <w:rPr>
          <w:rFonts w:ascii="Times New Roman" w:eastAsia="Times New Roman" w:hAnsi="Times New Roman" w:cs="Times New Roman"/>
          <w:color w:val="000000"/>
          <w:sz w:val="24"/>
          <w:szCs w:val="24"/>
          <w:lang w:eastAsia="tr-TR"/>
        </w:rPr>
        <w:t>prosedürlerin</w:t>
      </w:r>
      <w:proofErr w:type="gramEnd"/>
      <w:r w:rsidRPr="00657C51">
        <w:rPr>
          <w:rFonts w:ascii="Times New Roman" w:eastAsia="Times New Roman" w:hAnsi="Times New Roman" w:cs="Times New Roman"/>
          <w:color w:val="000000"/>
          <w:sz w:val="24"/>
          <w:szCs w:val="24"/>
          <w:lang w:eastAsia="tr-TR"/>
        </w:rPr>
        <w:t xml:space="preserve"> kendine özgü niteliği de ayrıca vurgulanmaktadır.</w:t>
      </w:r>
    </w:p>
    <w:p w:rsidR="00657C51" w:rsidRPr="00657C51" w:rsidRDefault="00657C51" w:rsidP="00657C51">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Birlik Dışişleri ve Güvenlik Politikası Yüksek Temsilcisi; </w:t>
      </w:r>
    </w:p>
    <w:p w:rsidR="00657C51" w:rsidRPr="00657C51" w:rsidRDefault="00657C51" w:rsidP="00657C51">
      <w:pPr>
        <w:numPr>
          <w:ilvl w:val="0"/>
          <w:numId w:val="8"/>
        </w:numPr>
        <w:tabs>
          <w:tab w:val="left" w:pos="720"/>
        </w:tabs>
        <w:suppressAutoHyphens/>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Birliğin ortak dışişleri ve güvenlik politikası ile ortak güvenlik ve savunma politikasını yürütecek ve söz konusu politikaların geliştirilmesine önerileri ile katkıda bulunacak; </w:t>
      </w:r>
    </w:p>
    <w:p w:rsidR="00657C51" w:rsidRPr="00657C51" w:rsidRDefault="00657C51" w:rsidP="00657C51">
      <w:pPr>
        <w:numPr>
          <w:ilvl w:val="0"/>
          <w:numId w:val="8"/>
        </w:numPr>
        <w:tabs>
          <w:tab w:val="left" w:pos="720"/>
        </w:tabs>
        <w:suppressAutoHyphens/>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 xml:space="preserve">Ortak dışişleri ve güvenlik politikasına dair hususlar bakımından Birliği temsil edecek ve Birlik adına üçüncü kişilerle siyasî diyalog kurarak, uluslararası örgütler nezdinde ve uluslararası konferanslarda Birlik adına söz sahibi olacak; </w:t>
      </w:r>
    </w:p>
    <w:p w:rsidR="00657C51" w:rsidRPr="00657C51" w:rsidRDefault="00657C51" w:rsidP="00657C51">
      <w:pPr>
        <w:numPr>
          <w:ilvl w:val="0"/>
          <w:numId w:val="8"/>
        </w:numPr>
        <w:tabs>
          <w:tab w:val="left" w:pos="720"/>
        </w:tabs>
        <w:suppressAutoHyphens/>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Dışişleri Konseyine başkanlık edecek;</w:t>
      </w:r>
    </w:p>
    <w:p w:rsidR="00657C51" w:rsidRPr="00657C51" w:rsidRDefault="00657C51" w:rsidP="00657C51">
      <w:pPr>
        <w:numPr>
          <w:ilvl w:val="0"/>
          <w:numId w:val="8"/>
        </w:numPr>
        <w:tabs>
          <w:tab w:val="left" w:pos="720"/>
        </w:tabs>
        <w:suppressAutoHyphens/>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Komisyon başkan yardımcılarından biri sıfatıyla Komisyonda görev alacaktır. </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w:t xml:space="preserve">Komisyon başkan yardımcılığına dair görevi çerçevesinde söz konusu Temsilci, Birliğin dış faaliyetleri bakımından tutarlılığın sağlamasına çalışacak, dış ilişkilere dair yükümlülüklerini yerine getirecek ve Birliğin dış faaliyetlerinin diğer boyutlarının koordinasyonunu sağlayacaktır. Temsilcinin Komisyon içerisindeki yükümlülükleri bakımından, -diğer görev ve yetkilerine dair hükümlere uygun olmak kaydıyla- Komisyon usulleri ile bağlı olması öngörülmüştür. </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w:t xml:space="preserve">Birlik Dışişleri ve Güvenlik Yüksek Temsilcisine ortak dışişleri ve güvenlik politikasına dair görevlerini yerine getirirken Avrupa Dış Eylemler Servisi yardımcı olacaktır. Söz konusu servisin oluşumu ve işleyişine ilişkin düzenlemeler, Yüksek Temsilcinin önerisi üzerine Konsey tarafından, Parlamentoya danışılmak ve Komisyonun onayı alınmak suretiyle verilecek bir karar ile yapılacaktır. Avrupa Dış Eylemler Servisinin üye ülkelerin diplomatik servisleriyle işbirliği içerisinde çalışması ve Konsey Genel Sekreterliği ile Komisyonun ilgili birimlerinden gelen temsilcilerden ve üye devletlerin diplomatik memurlarından oluşması öngörülmüştür. </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Birliğin Ortak Dışişleri ve Güvenlik Politikasını yürütecek olan Yüksek Temsilci, aynı zamanda, Komisyon Başkan yardımcılarından birisi olacaktır. Böylelikle halen </w:t>
      </w:r>
      <w:proofErr w:type="spellStart"/>
      <w:r w:rsidRPr="00657C51">
        <w:rPr>
          <w:rFonts w:ascii="Times New Roman" w:eastAsia="Times New Roman" w:hAnsi="Times New Roman" w:cs="Times New Roman"/>
          <w:i/>
          <w:iCs/>
          <w:sz w:val="24"/>
          <w:szCs w:val="24"/>
          <w:lang w:eastAsia="tr-TR"/>
        </w:rPr>
        <w:t>Javier</w:t>
      </w:r>
      <w:proofErr w:type="spellEnd"/>
      <w:r w:rsidRPr="00657C51">
        <w:rPr>
          <w:rFonts w:ascii="Times New Roman" w:eastAsia="Times New Roman" w:hAnsi="Times New Roman" w:cs="Times New Roman"/>
          <w:i/>
          <w:iCs/>
          <w:sz w:val="24"/>
          <w:szCs w:val="24"/>
          <w:lang w:eastAsia="tr-TR"/>
        </w:rPr>
        <w:t xml:space="preserve"> </w:t>
      </w:r>
      <w:proofErr w:type="spellStart"/>
      <w:r w:rsidRPr="00657C51">
        <w:rPr>
          <w:rFonts w:ascii="Times New Roman" w:eastAsia="Times New Roman" w:hAnsi="Times New Roman" w:cs="Times New Roman"/>
          <w:i/>
          <w:iCs/>
          <w:sz w:val="24"/>
          <w:szCs w:val="24"/>
          <w:lang w:eastAsia="tr-TR"/>
        </w:rPr>
        <w:t>Solana</w:t>
      </w:r>
      <w:r w:rsidRPr="00657C51">
        <w:rPr>
          <w:rFonts w:ascii="Times New Roman" w:eastAsia="Times New Roman" w:hAnsi="Times New Roman" w:cs="Times New Roman"/>
          <w:sz w:val="24"/>
          <w:szCs w:val="24"/>
          <w:lang w:eastAsia="tr-TR"/>
        </w:rPr>
        <w:t>’nın</w:t>
      </w:r>
      <w:proofErr w:type="spellEnd"/>
      <w:r w:rsidRPr="00657C51">
        <w:rPr>
          <w:rFonts w:ascii="Times New Roman" w:eastAsia="Times New Roman" w:hAnsi="Times New Roman" w:cs="Times New Roman"/>
          <w:sz w:val="24"/>
          <w:szCs w:val="24"/>
          <w:lang w:eastAsia="tr-TR"/>
        </w:rPr>
        <w:t xml:space="preserve"> yürütmekte olduğu ODGP Yüksek Temsilciliği ve AB Konseyi Genel Sekreterliği görevi Komisyon bünyesinde tanımlanmış, Komisyonun dış ilişkilerden sorumlu komiserliği de bu sıfat altında toplanmış, AB’nin dış politikasının tek elden ve tek sesle, koordineli biçimde yürütülmesi hedeflenmiştir. </w:t>
      </w:r>
      <w:proofErr w:type="gramStart"/>
      <w:r w:rsidRPr="00657C51">
        <w:rPr>
          <w:rFonts w:ascii="Times New Roman" w:eastAsia="Times New Roman" w:hAnsi="Times New Roman" w:cs="Times New Roman"/>
          <w:sz w:val="24"/>
          <w:szCs w:val="24"/>
          <w:lang w:eastAsia="tr-TR"/>
        </w:rPr>
        <w:t xml:space="preserve">Ancak bu hedefin gerçekleşmesi, “AB Zirvesi Başkanı”, “Komisyon Başkanı” ve </w:t>
      </w:r>
      <w:r w:rsidRPr="00657C51">
        <w:rPr>
          <w:rFonts w:ascii="Times New Roman" w:eastAsia="Times New Roman" w:hAnsi="Times New Roman" w:cs="Times New Roman"/>
          <w:color w:val="000000"/>
          <w:sz w:val="24"/>
          <w:szCs w:val="24"/>
          <w:lang w:eastAsia="tr-TR"/>
        </w:rPr>
        <w:t xml:space="preserve">“Birlik Dışişleri ve Güvenlik Politikası Yüksek Temsilcisi” </w:t>
      </w:r>
      <w:r w:rsidRPr="00657C51">
        <w:rPr>
          <w:rFonts w:ascii="Times New Roman" w:eastAsia="Times New Roman" w:hAnsi="Times New Roman" w:cs="Times New Roman"/>
          <w:sz w:val="24"/>
          <w:szCs w:val="24"/>
          <w:lang w:eastAsia="tr-TR"/>
        </w:rPr>
        <w:t>şeklindeki çok başlılığın devam etmekte olduğu dikkate alındığında kolay kolay mümkün olmayabilecek; üye devletlerin başbakan ve dışişleri bakanlarının ağırlıkları devam edecek, dolayısıyla sadece bu kurumsal yapı değişikliği sayesinde tutarlı ve tek sesli bir AB Dış Politikası oluşturup yürütme hedefinin gerçekleşmesi kolay olmayacaktır.</w:t>
      </w:r>
      <w:proofErr w:type="gramEnd"/>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sz w:val="24"/>
          <w:szCs w:val="24"/>
          <w:lang w:eastAsia="tr-TR"/>
        </w:rPr>
        <w:t>Nitelikli Çoğunluk İlkesi</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Lizbon Antlaşmasıyla nitelikli çoğunluk usulü temel oylama yöntemi olacaktır. Bu usulün uygulama alanı Lizbon Antlaşması ile 40’dan fazla yeni alana genişletilmiş, ancak vergi, sosyal güvenlik, dış politika, savunma ve yeni üye kabulü gibi alanlarda oybirliği prensibi büyük ölçüde korunmuştur. 1987 tarihli Avrupa Tek Senedinden bu yana gerçekleştirilen her kurucu antlaşma değişikliği ile biraz daha yaygınlaştırılan nitelikli çoğunluk uygulaması, Lizbon Antlaşması ile Avrupa Birliği’nin temel karar yöntemi haline getirilmektedir. Zirve’de veya AB (Bakanlar) Konseyi’nde bir kararın alınabilmesi için, olumlu oyların üye ülkelerin %55’ini, Birlik toplam nüfusunun %65’ini temsil etmesi ve en az 15 üye devletten gelmesi şartı öngörülmüştür. Bloke edici azınlık ise, an az 4 üye devlet olarak belirlenmiştir. Karar önerisinin Komisyondan ya da </w:t>
      </w:r>
      <w:r w:rsidRPr="00657C51">
        <w:rPr>
          <w:rFonts w:ascii="Times New Roman" w:eastAsia="Times New Roman" w:hAnsi="Times New Roman" w:cs="Times New Roman"/>
          <w:color w:val="000000"/>
          <w:sz w:val="24"/>
          <w:szCs w:val="24"/>
          <w:lang w:eastAsia="tr-TR"/>
        </w:rPr>
        <w:t xml:space="preserve">“Birlik Dışişleri ve Güvenlik Politikası Yüksek </w:t>
      </w:r>
      <w:proofErr w:type="spellStart"/>
      <w:r w:rsidRPr="00657C51">
        <w:rPr>
          <w:rFonts w:ascii="Times New Roman" w:eastAsia="Times New Roman" w:hAnsi="Times New Roman" w:cs="Times New Roman"/>
          <w:color w:val="000000"/>
          <w:sz w:val="24"/>
          <w:szCs w:val="24"/>
          <w:lang w:eastAsia="tr-TR"/>
        </w:rPr>
        <w:t>Temsilcisi”nden</w:t>
      </w:r>
      <w:proofErr w:type="spellEnd"/>
      <w:r w:rsidRPr="00657C51">
        <w:rPr>
          <w:rFonts w:ascii="Times New Roman" w:eastAsia="Times New Roman" w:hAnsi="Times New Roman" w:cs="Times New Roman"/>
          <w:color w:val="000000"/>
          <w:sz w:val="24"/>
          <w:szCs w:val="24"/>
          <w:lang w:eastAsia="tr-TR"/>
        </w:rPr>
        <w:t xml:space="preserve"> </w:t>
      </w:r>
      <w:r w:rsidRPr="00657C51">
        <w:rPr>
          <w:rFonts w:ascii="Times New Roman" w:eastAsia="Times New Roman" w:hAnsi="Times New Roman" w:cs="Times New Roman"/>
          <w:sz w:val="24"/>
          <w:szCs w:val="24"/>
          <w:lang w:eastAsia="tr-TR"/>
        </w:rPr>
        <w:t>gelmemesi halinde ise, olumlu oyların üye devletlerin %72’sini, Birlik toplam nüfusunun da %65’ini temsil etmesi gerekmektedir.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Kararın Zirve’de nitelikli çoğunlukla alınması halinde de aynı hükümler uygulanacaktır. Bu itibarla, bütünleşmenin başlangıcından bu yana uygulanan ve son olarak Nice Zirvesinde büyük pazarlıklar sonucu genişlemenin ardından uygulanacak biçimiyle öngörülen ağırlıklı oy sistemine 2014-2017 yılları itibariyle aşamalı biçimde son verilmesi tasarlanmaktadır.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color w:val="000000"/>
          <w:sz w:val="24"/>
          <w:szCs w:val="24"/>
          <w:lang w:eastAsia="tr-TR"/>
        </w:rPr>
        <w:t>Lizbon Antlaşması ile öngörülen düzenleme çerçevesinde Anayasal Antlaşma ile getirilen nitelikli çoğunluk yöntemi muhafaza edilmiş olacak, ancak bu yöntemin uygulanması 2014 yılına kadar ertelenecek; 2017 yılına kadar da aşamalı bir biçimde ve belli kurallar çerçevesinde uygulamaya konacaktır.</w:t>
      </w:r>
      <w:r w:rsidRPr="00657C51">
        <w:rPr>
          <w:rFonts w:ascii="Times New Roman" w:eastAsia="Times New Roman" w:hAnsi="Times New Roman" w:cs="Times New Roman"/>
          <w:color w:val="000000"/>
          <w:sz w:val="24"/>
          <w:szCs w:val="24"/>
          <w:vertAlign w:val="superscript"/>
          <w:lang w:eastAsia="tr-TR"/>
        </w:rPr>
        <w:footnoteReference w:id="1"/>
      </w:r>
      <w:r w:rsidRPr="00657C51">
        <w:rPr>
          <w:rFonts w:ascii="Times New Roman" w:eastAsia="Times New Roman" w:hAnsi="Times New Roman" w:cs="Times New Roman"/>
          <w:color w:val="000000"/>
          <w:sz w:val="24"/>
          <w:szCs w:val="24"/>
          <w:lang w:eastAsia="tr-TR"/>
        </w:rPr>
        <w:t xml:space="preserve"> Nitelikli çoğunluğun uygulandığı alanlar, özellikle hukuk alanında polis ve adli işbirliği bakımından genel kural haline gelecek</w:t>
      </w:r>
      <w:r w:rsidRPr="00657C51">
        <w:rPr>
          <w:rFonts w:ascii="Times New Roman" w:eastAsia="Times New Roman" w:hAnsi="Times New Roman" w:cs="Times New Roman"/>
          <w:color w:val="000000"/>
          <w:sz w:val="24"/>
          <w:szCs w:val="24"/>
          <w:vertAlign w:val="superscript"/>
          <w:lang w:eastAsia="tr-TR"/>
        </w:rPr>
        <w:footnoteReference w:id="2"/>
      </w:r>
      <w:r w:rsidRPr="00657C51">
        <w:rPr>
          <w:rFonts w:ascii="Times New Roman" w:eastAsia="Times New Roman" w:hAnsi="Times New Roman" w:cs="Times New Roman"/>
          <w:color w:val="000000"/>
          <w:sz w:val="24"/>
          <w:szCs w:val="24"/>
          <w:lang w:eastAsia="tr-TR"/>
        </w:rPr>
        <w:t>; cezai konularda polis ve adli işbirliği alanında da genişletilecek</w:t>
      </w:r>
      <w:r w:rsidRPr="00657C51">
        <w:rPr>
          <w:rFonts w:ascii="Times New Roman" w:eastAsia="Times New Roman" w:hAnsi="Times New Roman" w:cs="Times New Roman"/>
          <w:color w:val="000000"/>
          <w:sz w:val="24"/>
          <w:szCs w:val="24"/>
          <w:vertAlign w:val="superscript"/>
          <w:lang w:eastAsia="tr-TR"/>
        </w:rPr>
        <w:footnoteReference w:id="3"/>
      </w:r>
      <w:r w:rsidRPr="00657C51">
        <w:rPr>
          <w:rFonts w:ascii="Times New Roman" w:eastAsia="Times New Roman" w:hAnsi="Times New Roman" w:cs="Times New Roman"/>
          <w:color w:val="000000"/>
          <w:sz w:val="24"/>
          <w:szCs w:val="24"/>
          <w:lang w:eastAsia="tr-TR"/>
        </w:rPr>
        <w:t xml:space="preserve">; ancak İngiltere’ye ve İrlanda’ya bu alanda </w:t>
      </w:r>
      <w:proofErr w:type="spellStart"/>
      <w:r w:rsidRPr="00657C51">
        <w:rPr>
          <w:rFonts w:ascii="Times New Roman" w:eastAsia="Times New Roman" w:hAnsi="Times New Roman" w:cs="Times New Roman"/>
          <w:i/>
          <w:iCs/>
          <w:color w:val="000000"/>
          <w:sz w:val="24"/>
          <w:szCs w:val="24"/>
          <w:lang w:eastAsia="tr-TR"/>
        </w:rPr>
        <w:t>opt-out</w:t>
      </w:r>
      <w:proofErr w:type="spellEnd"/>
      <w:r w:rsidRPr="00657C51">
        <w:rPr>
          <w:rFonts w:ascii="Times New Roman" w:eastAsia="Times New Roman" w:hAnsi="Times New Roman" w:cs="Times New Roman"/>
          <w:color w:val="000000"/>
          <w:sz w:val="24"/>
          <w:szCs w:val="24"/>
          <w:lang w:eastAsia="tr-TR"/>
        </w:rPr>
        <w:t xml:space="preserve"> ya da </w:t>
      </w:r>
      <w:proofErr w:type="spellStart"/>
      <w:r w:rsidRPr="00657C51">
        <w:rPr>
          <w:rFonts w:ascii="Times New Roman" w:eastAsia="Times New Roman" w:hAnsi="Times New Roman" w:cs="Times New Roman"/>
          <w:i/>
          <w:color w:val="000000"/>
          <w:sz w:val="24"/>
          <w:szCs w:val="24"/>
          <w:lang w:eastAsia="tr-TR"/>
        </w:rPr>
        <w:t>opt</w:t>
      </w:r>
      <w:proofErr w:type="spellEnd"/>
      <w:r w:rsidRPr="00657C51">
        <w:rPr>
          <w:rFonts w:ascii="Times New Roman" w:eastAsia="Times New Roman" w:hAnsi="Times New Roman" w:cs="Times New Roman"/>
          <w:i/>
          <w:color w:val="000000"/>
          <w:sz w:val="24"/>
          <w:szCs w:val="24"/>
          <w:lang w:eastAsia="tr-TR"/>
        </w:rPr>
        <w:t>-in</w:t>
      </w:r>
      <w:r w:rsidRPr="00657C51">
        <w:rPr>
          <w:rFonts w:ascii="Times New Roman" w:eastAsia="Times New Roman" w:hAnsi="Times New Roman" w:cs="Times New Roman"/>
          <w:color w:val="000000"/>
          <w:sz w:val="24"/>
          <w:szCs w:val="24"/>
          <w:lang w:eastAsia="tr-TR"/>
        </w:rPr>
        <w:t xml:space="preserve"> imkânı tanınacaktır. </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Yasama alanında </w:t>
      </w:r>
      <w:proofErr w:type="spellStart"/>
      <w:r w:rsidRPr="00657C51">
        <w:rPr>
          <w:rFonts w:ascii="Times New Roman" w:eastAsia="Times New Roman" w:hAnsi="Times New Roman" w:cs="Times New Roman"/>
          <w:sz w:val="24"/>
          <w:szCs w:val="24"/>
          <w:lang w:eastAsia="tr-TR"/>
        </w:rPr>
        <w:t>uluslarüstülüğü</w:t>
      </w:r>
      <w:proofErr w:type="spellEnd"/>
      <w:r w:rsidRPr="00657C51">
        <w:rPr>
          <w:rFonts w:ascii="Times New Roman" w:eastAsia="Times New Roman" w:hAnsi="Times New Roman" w:cs="Times New Roman"/>
          <w:sz w:val="24"/>
          <w:szCs w:val="24"/>
          <w:lang w:eastAsia="tr-TR"/>
        </w:rPr>
        <w:t xml:space="preserve"> ve etkinliği arttırma amacını taşıyan söz konusu Lizbon Antlaşması düzenlemeleri, özellikle Avrupa Birliğinde küçük ve büyük üye </w:t>
      </w:r>
      <w:proofErr w:type="gramStart"/>
      <w:r w:rsidRPr="00657C51">
        <w:rPr>
          <w:rFonts w:ascii="Times New Roman" w:eastAsia="Times New Roman" w:hAnsi="Times New Roman" w:cs="Times New Roman"/>
          <w:sz w:val="24"/>
          <w:szCs w:val="24"/>
          <w:lang w:eastAsia="tr-TR"/>
        </w:rPr>
        <w:t>devletler arasında</w:t>
      </w:r>
      <w:proofErr w:type="gramEnd"/>
      <w:r w:rsidRPr="00657C51">
        <w:rPr>
          <w:rFonts w:ascii="Times New Roman" w:eastAsia="Times New Roman" w:hAnsi="Times New Roman" w:cs="Times New Roman"/>
          <w:sz w:val="24"/>
          <w:szCs w:val="24"/>
          <w:lang w:eastAsia="tr-TR"/>
        </w:rPr>
        <w:t xml:space="preserve"> devam etmekte olan güç dengesi arayışlarının da önemli bir unsurunu oluşturmaktadır.</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b/>
          <w:iCs/>
          <w:sz w:val="24"/>
          <w:szCs w:val="24"/>
          <w:lang w:eastAsia="tr-TR"/>
        </w:rPr>
      </w:pPr>
      <w:r w:rsidRPr="00657C51">
        <w:rPr>
          <w:rFonts w:ascii="Times New Roman" w:eastAsia="Times New Roman" w:hAnsi="Times New Roman" w:cs="Times New Roman"/>
          <w:b/>
          <w:iCs/>
          <w:sz w:val="24"/>
          <w:szCs w:val="24"/>
          <w:lang w:eastAsia="tr-TR"/>
        </w:rPr>
        <w:t>Ortak Karar Usulü: Olağan Yasama Usulü</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i/>
          <w:iCs/>
          <w:sz w:val="24"/>
          <w:szCs w:val="24"/>
          <w:lang w:eastAsia="tr-TR"/>
        </w:rPr>
      </w:pPr>
      <w:r w:rsidRPr="00657C51">
        <w:rPr>
          <w:rFonts w:ascii="Times New Roman" w:eastAsia="Times New Roman" w:hAnsi="Times New Roman" w:cs="Times New Roman"/>
          <w:sz w:val="24"/>
          <w:szCs w:val="24"/>
          <w:lang w:eastAsia="tr-TR"/>
        </w:rPr>
        <w:t>Maastricht Antlaşması ile getirilen ve 1993 yılından beri uygulanarak AB (Bakanlar) Konseyi ile Avrupa Parlamentosunu yasama sürecinde “ortak” ya da “eşit” konumuna getiren ortak karar usulünün Amsterdam ve Nice Antlaşmalarında uygulama alanının artırılması eğilimine devam edilmesinden sonra Lizbon Antlaşması ile olağan yasama yöntemi haline getirildiği görülmektedir. Bu çerçevede, danışma ve uygun görüş (onay, muvafakat) usulleri istisna niteliğinde olacaklar ve ancak Lizbon Antlaşmasında açıkça belirlendikleri durumlarda uygulanacaklar; işbirliği usulü ise tamamen terk edilecektir. Uygun görüş usulünün adı ise rıza usulü olarak değiştirilmektedir.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Yasama alanında Avrupa Parlamentosunun, dolayısıyla bütünleşmenin demokratik meşruiyetinin güçlendirilmesinin yanı sıra bu alanda atılan adımlar </w:t>
      </w:r>
      <w:proofErr w:type="spellStart"/>
      <w:r w:rsidRPr="00657C51">
        <w:rPr>
          <w:rFonts w:ascii="Times New Roman" w:eastAsia="Times New Roman" w:hAnsi="Times New Roman" w:cs="Times New Roman"/>
          <w:sz w:val="24"/>
          <w:szCs w:val="24"/>
          <w:lang w:eastAsia="tr-TR"/>
        </w:rPr>
        <w:t>uluslarüstülüğün</w:t>
      </w:r>
      <w:proofErr w:type="spellEnd"/>
      <w:r w:rsidRPr="00657C51">
        <w:rPr>
          <w:rFonts w:ascii="Times New Roman" w:eastAsia="Times New Roman" w:hAnsi="Times New Roman" w:cs="Times New Roman"/>
          <w:sz w:val="24"/>
          <w:szCs w:val="24"/>
          <w:lang w:eastAsia="tr-TR"/>
        </w:rPr>
        <w:t xml:space="preserve"> güçlendirilmesine de hizmet edecek niteliktedir. Bundan başka, farklı ve çeşitli yasama usullerinin bir arada mevcudiyetinin yarattığı karmaşanın da en azından bir ölçüde önüne geçilmeye çalışılmaktadır.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iCs/>
          <w:sz w:val="24"/>
          <w:szCs w:val="24"/>
          <w:lang w:eastAsia="tr-TR"/>
        </w:rPr>
      </w:pPr>
      <w:r w:rsidRPr="00657C51">
        <w:rPr>
          <w:rFonts w:ascii="Times New Roman" w:eastAsia="Times New Roman" w:hAnsi="Times New Roman" w:cs="Times New Roman"/>
          <w:b/>
          <w:iCs/>
          <w:sz w:val="24"/>
          <w:szCs w:val="24"/>
          <w:lang w:eastAsia="tr-TR"/>
        </w:rPr>
        <w:t>Yargı Mekanizması</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Bütünleşmenin yargısal yapısında Nice Antlaşması ile meydana getirilen değişiklikler Lizbon Antlaşmasında da genel olarak muhafaza edilmekte; önemli kurumsal ve yapısal değişikliklere gidilmemektedir. Avrupa Birliği Adalet Divanı’nın</w:t>
      </w:r>
      <w:r w:rsidRPr="00657C51">
        <w:rPr>
          <w:rFonts w:ascii="Times New Roman" w:eastAsia="Times New Roman" w:hAnsi="Times New Roman" w:cs="Times New Roman"/>
          <w:sz w:val="24"/>
          <w:szCs w:val="24"/>
          <w:vertAlign w:val="superscript"/>
          <w:lang w:eastAsia="tr-TR"/>
        </w:rPr>
        <w:footnoteReference w:id="4"/>
      </w:r>
      <w:r w:rsidRPr="00657C51">
        <w:rPr>
          <w:rFonts w:ascii="Times New Roman" w:eastAsia="Times New Roman" w:hAnsi="Times New Roman" w:cs="Times New Roman"/>
          <w:sz w:val="24"/>
          <w:szCs w:val="24"/>
          <w:lang w:eastAsia="tr-TR"/>
        </w:rPr>
        <w:t xml:space="preserve"> Adalet Divanı, Genel Mahkeme (İlk Derece Mahkemesi) ve uzmanlık mahkemelerinden oluşması öngörülmekte; Nice Antlaşması ile öngörülen son konumlarının ötesinde önemli bir değişikliğe tabi tutulmadıkları göze çarpmaktadır. Burada en önemli husus, Divanın eski üçüncü sütun konularında yargı yetkisinin önemli ölçüde artırılmasıdır.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Avrupa Merkez Bankası, Avrupa </w:t>
      </w:r>
      <w:proofErr w:type="spellStart"/>
      <w:r w:rsidRPr="00657C51">
        <w:rPr>
          <w:rFonts w:ascii="Times New Roman" w:eastAsia="Times New Roman" w:hAnsi="Times New Roman" w:cs="Times New Roman"/>
          <w:sz w:val="24"/>
          <w:szCs w:val="24"/>
          <w:lang w:eastAsia="tr-TR"/>
        </w:rPr>
        <w:t>Sayıştayı</w:t>
      </w:r>
      <w:proofErr w:type="spellEnd"/>
      <w:r w:rsidRPr="00657C51">
        <w:rPr>
          <w:rFonts w:ascii="Times New Roman" w:eastAsia="Times New Roman" w:hAnsi="Times New Roman" w:cs="Times New Roman"/>
          <w:sz w:val="24"/>
          <w:szCs w:val="24"/>
          <w:lang w:eastAsia="tr-TR"/>
        </w:rPr>
        <w:t>, Avrupa Ombudsmanı ve diğer danışma organları faaliyetlerine, genel olarak büyük değişiklikler olmaksızın devam edecektir.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bCs/>
          <w:iCs/>
          <w:sz w:val="24"/>
          <w:szCs w:val="24"/>
          <w:lang w:eastAsia="tr-TR"/>
        </w:rPr>
      </w:pPr>
      <w:r w:rsidRPr="00657C51">
        <w:rPr>
          <w:rFonts w:ascii="Times New Roman" w:eastAsia="Times New Roman" w:hAnsi="Times New Roman" w:cs="Times New Roman"/>
          <w:b/>
          <w:bCs/>
          <w:iCs/>
          <w:sz w:val="24"/>
          <w:szCs w:val="24"/>
          <w:lang w:eastAsia="tr-TR"/>
        </w:rPr>
        <w:t>Yetki Kataloğu</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sz w:val="24"/>
          <w:szCs w:val="24"/>
          <w:lang w:eastAsia="tr-TR"/>
        </w:rPr>
        <w:t xml:space="preserve">Nice ve </w:t>
      </w:r>
      <w:proofErr w:type="spellStart"/>
      <w:r w:rsidRPr="00657C51">
        <w:rPr>
          <w:rFonts w:ascii="Times New Roman" w:eastAsia="Times New Roman" w:hAnsi="Times New Roman" w:cs="Times New Roman"/>
          <w:sz w:val="24"/>
          <w:szCs w:val="24"/>
          <w:lang w:eastAsia="tr-TR"/>
        </w:rPr>
        <w:t>Laeken</w:t>
      </w:r>
      <w:proofErr w:type="spellEnd"/>
      <w:r w:rsidRPr="00657C51">
        <w:rPr>
          <w:rFonts w:ascii="Times New Roman" w:eastAsia="Times New Roman" w:hAnsi="Times New Roman" w:cs="Times New Roman"/>
          <w:sz w:val="24"/>
          <w:szCs w:val="24"/>
          <w:lang w:eastAsia="tr-TR"/>
        </w:rPr>
        <w:t xml:space="preserve"> Zirvelerinin Sonuç Bildirilerinde</w:t>
      </w:r>
      <w:r w:rsidRPr="00657C51">
        <w:rPr>
          <w:rFonts w:ascii="Times New Roman" w:eastAsia="Times New Roman" w:hAnsi="Times New Roman" w:cs="Times New Roman"/>
          <w:b/>
          <w:sz w:val="24"/>
          <w:szCs w:val="24"/>
          <w:lang w:eastAsia="tr-TR"/>
        </w:rPr>
        <w:t xml:space="preserve"> </w:t>
      </w:r>
      <w:r w:rsidRPr="00657C51">
        <w:rPr>
          <w:rFonts w:ascii="Times New Roman" w:eastAsia="Times New Roman" w:hAnsi="Times New Roman" w:cs="Times New Roman"/>
          <w:sz w:val="24"/>
          <w:szCs w:val="24"/>
          <w:lang w:eastAsia="tr-TR"/>
        </w:rPr>
        <w:t xml:space="preserve">Avrupa’nın geleceğine ilişkin reforma tabi tutulması gerektiği belirtilen hususlardan biri olan Birliğin yetkilerinin açıkça belirlenmesi ve sınıflandırılması konusunda da Lizbon Antlaşması ile önemli bir adım atıldığı görülmektedir. </w:t>
      </w:r>
      <w:r w:rsidRPr="00657C51">
        <w:rPr>
          <w:rFonts w:ascii="Times New Roman" w:eastAsia="Times New Roman" w:hAnsi="Times New Roman" w:cs="Times New Roman"/>
          <w:color w:val="000000"/>
          <w:sz w:val="24"/>
          <w:szCs w:val="24"/>
          <w:lang w:eastAsia="tr-TR"/>
        </w:rPr>
        <w:t>Birliğin yetkilerinin Anayasal Antlaşmadaki sınıflandırması büyük ölçüde muhafaza edilmekte; buna karşılık yetkisinin sınırları daha güçlü şekilde ifade edilmektedir.</w:t>
      </w:r>
      <w:r w:rsidRPr="00657C51">
        <w:rPr>
          <w:rFonts w:ascii="Times New Roman" w:eastAsia="Times New Roman" w:hAnsi="Times New Roman" w:cs="Times New Roman"/>
          <w:color w:val="000000"/>
          <w:sz w:val="24"/>
          <w:szCs w:val="24"/>
          <w:vertAlign w:val="superscript"/>
          <w:lang w:eastAsia="tr-TR"/>
        </w:rPr>
        <w:footnoteReference w:id="5"/>
      </w:r>
      <w:r w:rsidRPr="00657C51">
        <w:rPr>
          <w:rFonts w:ascii="Times New Roman" w:eastAsia="Times New Roman" w:hAnsi="Times New Roman" w:cs="Times New Roman"/>
          <w:color w:val="000000"/>
          <w:sz w:val="24"/>
          <w:szCs w:val="24"/>
          <w:lang w:eastAsia="tr-TR"/>
        </w:rPr>
        <w:t xml:space="preserve">  Ayrıca Birlik düzeyinde kullanılmayan ya da kullanılması uygun görülmeyen yetkilerin üye devletlere iadesi ile ilgili bir antlaşma değişikliğine gidilebileceğine dair bir hükmün de Lizbon Antlaşmasına </w:t>
      </w:r>
      <w:proofErr w:type="gramStart"/>
      <w:r w:rsidRPr="00657C51">
        <w:rPr>
          <w:rFonts w:ascii="Times New Roman" w:eastAsia="Times New Roman" w:hAnsi="Times New Roman" w:cs="Times New Roman"/>
          <w:color w:val="000000"/>
          <w:sz w:val="24"/>
          <w:szCs w:val="24"/>
          <w:lang w:eastAsia="tr-TR"/>
        </w:rPr>
        <w:t>dahil</w:t>
      </w:r>
      <w:proofErr w:type="gramEnd"/>
      <w:r w:rsidRPr="00657C51">
        <w:rPr>
          <w:rFonts w:ascii="Times New Roman" w:eastAsia="Times New Roman" w:hAnsi="Times New Roman" w:cs="Times New Roman"/>
          <w:color w:val="000000"/>
          <w:sz w:val="24"/>
          <w:szCs w:val="24"/>
          <w:lang w:eastAsia="tr-TR"/>
        </w:rPr>
        <w:t xml:space="preserve"> edildiği görülmektedir.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AB’nin yetkileri “münhasır” ve “paylaşılan” yetki alanlarının yanı sıra, “ekonomi ve istihdam politikalarının koordinasyonu”, “Ortak Dışişleri ve Güvenlik Politikası” ile “destekleyici, koordine edici ve tamamlayıcı eylem alanları” şeklinde sınıflandırılmakta, her alana giren konular sayılarak yetkilerin niteliği açıklığa kavuşturulmaya çalışılmaktadır. AB’ye iklim değişikliği, enerji, insanî yardım, turizm ve spor gibi yeni alanlarda yetki tanındığı da görülmektedir.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AB’nin yetki alanlarının daha açık belirlenmesi ihtiyacına cevap vermesi beklenebilecek bu düzenlemenin uygulamada alacağı şekil belirleyici olacaktır. Belirtilmesi gereken önemli bir husus da, kurucu antlaşmaların özgün metninde de yer alıp bugün için de mevcut olan “yetki ihdas etme yetkisi normu” olarak isimlendirilecek hükmün</w:t>
      </w:r>
      <w:r w:rsidRPr="00657C51">
        <w:rPr>
          <w:rFonts w:ascii="Times New Roman" w:eastAsia="Times New Roman" w:hAnsi="Times New Roman" w:cs="Times New Roman"/>
          <w:sz w:val="24"/>
          <w:szCs w:val="24"/>
          <w:vertAlign w:val="superscript"/>
          <w:lang w:eastAsia="tr-TR"/>
        </w:rPr>
        <w:footnoteReference w:id="6"/>
      </w:r>
      <w:r w:rsidRPr="00657C51">
        <w:rPr>
          <w:rFonts w:ascii="Times New Roman" w:eastAsia="Times New Roman" w:hAnsi="Times New Roman" w:cs="Times New Roman"/>
          <w:sz w:val="24"/>
          <w:szCs w:val="24"/>
          <w:lang w:eastAsia="tr-TR"/>
        </w:rPr>
        <w:t xml:space="preserve"> Lizbon Antlaşmasında da muhafaza edilmekte olduğudur. Dolayısıyla, Avrupa Birliği, belirtilen yetki alanlarını amaçlarının gerektirmesi durumunda, belli ilkelere tabi olarak da olsa, genişletebilecektir. </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sz w:val="24"/>
          <w:szCs w:val="24"/>
          <w:lang w:eastAsia="tr-TR"/>
        </w:rPr>
        <w:t xml:space="preserve">Bu çerçevede önemli bir husus da Adalet Divanı içtihadı ile 1960’ların başından beri kabul edilen ve uygulanan Topluluk hukukunun ulusal hukukla çatışması durumunda önceliğe sahip olduğu, yani “Topluluk hukukunun önceliği” ilkesinin ilk defa kurucu antlaşmalara geçirilerek anayasal bir temele oturtulacak olmasıdır. </w:t>
      </w:r>
      <w:r w:rsidRPr="00657C51">
        <w:rPr>
          <w:rFonts w:ascii="Times New Roman" w:eastAsia="Times New Roman" w:hAnsi="Times New Roman" w:cs="Times New Roman"/>
          <w:color w:val="000000"/>
          <w:sz w:val="24"/>
          <w:szCs w:val="24"/>
          <w:lang w:eastAsia="tr-TR"/>
        </w:rPr>
        <w:t xml:space="preserve">Ancak bu bakımdan Lizbon Antlaşması ile Anayasal Antlaşma arasında önemli bir farklılık bulunmaktadır. Anayasal Antlaşmanın metin içinde açık bir hüküm olarak yer verdiği “Birlik hukukunun önceliği ilkesi”, Lizbon </w:t>
      </w:r>
      <w:r w:rsidRPr="00657C51">
        <w:rPr>
          <w:rFonts w:ascii="Times New Roman" w:eastAsia="Times New Roman" w:hAnsi="Times New Roman" w:cs="Times New Roman"/>
          <w:color w:val="000000"/>
          <w:sz w:val="24"/>
          <w:szCs w:val="24"/>
          <w:lang w:eastAsia="tr-TR"/>
        </w:rPr>
        <w:lastRenderedPageBreak/>
        <w:t xml:space="preserve">Antlaşmasının bir hükmü olmaktan çıkarılmakta; buna karşılık, Adalet Divanının bu alandaki yerleşik içtihadına saygıyı vurgulayan bir Bildiri’nin antlaşma metnine eklenmesi gibi bir uygulamaya gidilmektedir. Hukuki sonuçları ve etkisi bakımından bugünkü durumun devamı anlamına gelen bu tercih, siyasi bakımdan bütünleşmenin </w:t>
      </w:r>
      <w:proofErr w:type="spellStart"/>
      <w:r w:rsidRPr="00657C51">
        <w:rPr>
          <w:rFonts w:ascii="Times New Roman" w:eastAsia="Times New Roman" w:hAnsi="Times New Roman" w:cs="Times New Roman"/>
          <w:color w:val="000000"/>
          <w:sz w:val="24"/>
          <w:szCs w:val="24"/>
          <w:lang w:eastAsia="tr-TR"/>
        </w:rPr>
        <w:t>uluslarüstü</w:t>
      </w:r>
      <w:proofErr w:type="spellEnd"/>
      <w:r w:rsidRPr="00657C51">
        <w:rPr>
          <w:rFonts w:ascii="Times New Roman" w:eastAsia="Times New Roman" w:hAnsi="Times New Roman" w:cs="Times New Roman"/>
          <w:color w:val="000000"/>
          <w:sz w:val="24"/>
          <w:szCs w:val="24"/>
          <w:lang w:eastAsia="tr-TR"/>
        </w:rPr>
        <w:t xml:space="preserve"> yönünün çok da fazla vurgulanmamasına yönelik gayreti göstermesi bakımından dikkat çekicidir. </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bCs/>
          <w:iCs/>
          <w:sz w:val="24"/>
          <w:szCs w:val="24"/>
          <w:lang w:eastAsia="tr-TR"/>
        </w:rPr>
      </w:pPr>
      <w:proofErr w:type="spellStart"/>
      <w:r w:rsidRPr="00657C51">
        <w:rPr>
          <w:rFonts w:ascii="Times New Roman" w:eastAsia="Times New Roman" w:hAnsi="Times New Roman" w:cs="Times New Roman"/>
          <w:b/>
          <w:bCs/>
          <w:iCs/>
          <w:sz w:val="24"/>
          <w:szCs w:val="24"/>
          <w:lang w:eastAsia="tr-TR"/>
        </w:rPr>
        <w:t>Subsidiarite</w:t>
      </w:r>
      <w:proofErr w:type="spellEnd"/>
      <w:r w:rsidRPr="00657C51">
        <w:rPr>
          <w:rFonts w:ascii="Times New Roman" w:eastAsia="Times New Roman" w:hAnsi="Times New Roman" w:cs="Times New Roman"/>
          <w:b/>
          <w:bCs/>
          <w:iCs/>
          <w:sz w:val="24"/>
          <w:szCs w:val="24"/>
          <w:lang w:eastAsia="tr-TR"/>
        </w:rPr>
        <w:t xml:space="preserve"> (Katmanlı Yetki) ve Orantılılık İlkeleri Hakkında Protokol</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vanish/>
          <w:sz w:val="24"/>
          <w:szCs w:val="24"/>
          <w:lang w:eastAsia="tr-TR"/>
        </w:rPr>
      </w:pPr>
      <w:r w:rsidRPr="00657C51">
        <w:rPr>
          <w:rFonts w:ascii="Times New Roman" w:eastAsia="Times New Roman" w:hAnsi="Times New Roman" w:cs="Times New Roman"/>
          <w:bCs/>
          <w:sz w:val="24"/>
          <w:szCs w:val="24"/>
          <w:lang w:eastAsia="tr-TR"/>
        </w:rPr>
        <w:t xml:space="preserve">Anayasal Antlaşmada yer alan ve </w:t>
      </w:r>
      <w:r w:rsidRPr="00657C51">
        <w:rPr>
          <w:rFonts w:ascii="Times New Roman" w:eastAsia="Times New Roman" w:hAnsi="Times New Roman" w:cs="Times New Roman"/>
          <w:sz w:val="24"/>
          <w:szCs w:val="24"/>
          <w:lang w:eastAsia="tr-TR"/>
        </w:rPr>
        <w:t xml:space="preserve">Avrupa Birliği kurucu antlaşmalarına Maastricht Antlaşması ile giren </w:t>
      </w:r>
      <w:proofErr w:type="spellStart"/>
      <w:r w:rsidRPr="00657C51">
        <w:rPr>
          <w:rFonts w:ascii="Times New Roman" w:eastAsia="Times New Roman" w:hAnsi="Times New Roman" w:cs="Times New Roman"/>
          <w:i/>
          <w:iCs/>
          <w:sz w:val="24"/>
          <w:szCs w:val="24"/>
          <w:lang w:eastAsia="tr-TR"/>
        </w:rPr>
        <w:t>subsidiarite</w:t>
      </w:r>
      <w:proofErr w:type="spellEnd"/>
      <w:r w:rsidRPr="00657C51">
        <w:rPr>
          <w:rFonts w:ascii="Times New Roman" w:eastAsia="Times New Roman" w:hAnsi="Times New Roman" w:cs="Times New Roman"/>
          <w:i/>
          <w:iCs/>
          <w:sz w:val="24"/>
          <w:szCs w:val="24"/>
          <w:lang w:eastAsia="tr-TR"/>
        </w:rPr>
        <w:t xml:space="preserve"> </w:t>
      </w:r>
      <w:r w:rsidRPr="00657C51">
        <w:rPr>
          <w:rFonts w:ascii="Times New Roman" w:eastAsia="Times New Roman" w:hAnsi="Times New Roman" w:cs="Times New Roman"/>
          <w:iCs/>
          <w:sz w:val="24"/>
          <w:szCs w:val="24"/>
          <w:lang w:eastAsia="tr-TR"/>
        </w:rPr>
        <w:t xml:space="preserve">(katmanlı yetki) </w:t>
      </w:r>
      <w:r w:rsidRPr="00657C51">
        <w:rPr>
          <w:rFonts w:ascii="Times New Roman" w:eastAsia="Times New Roman" w:hAnsi="Times New Roman" w:cs="Times New Roman"/>
          <w:sz w:val="24"/>
          <w:szCs w:val="24"/>
          <w:lang w:eastAsia="tr-TR"/>
        </w:rPr>
        <w:t xml:space="preserve">ve orantılılık ilkelerinin ne şekilde uygulanacağına ilişkin Amsterdam Antlaşmasına ekli mevcut Protokolün, Lizbon Antlaşmasında da büyük ölçüde muhafaza edildiği görülmektedir. Bu çerçevede, önemli bir yenilik üye devletlerin ulusal parlamentolarına, Komisyonun yasama önerilerinin </w:t>
      </w:r>
      <w:proofErr w:type="spellStart"/>
      <w:r w:rsidRPr="00657C51">
        <w:rPr>
          <w:rFonts w:ascii="Times New Roman" w:eastAsia="Times New Roman" w:hAnsi="Times New Roman" w:cs="Times New Roman"/>
          <w:i/>
          <w:iCs/>
          <w:sz w:val="24"/>
          <w:szCs w:val="24"/>
          <w:lang w:eastAsia="tr-TR"/>
        </w:rPr>
        <w:t>subsidiarite</w:t>
      </w:r>
      <w:proofErr w:type="spellEnd"/>
      <w:r w:rsidRPr="00657C51">
        <w:rPr>
          <w:rFonts w:ascii="Times New Roman" w:eastAsia="Times New Roman" w:hAnsi="Times New Roman" w:cs="Times New Roman"/>
          <w:sz w:val="24"/>
          <w:szCs w:val="24"/>
          <w:lang w:eastAsia="tr-TR"/>
        </w:rPr>
        <w:t xml:space="preserve"> ilkesine uygunluğu konusunda gerekçeli görüş verme hakkının sağlanmış olmasıdır. Söz konusu görüş kapsamında ulusal parlamentolar ilgili önerinin </w:t>
      </w:r>
      <w:proofErr w:type="spellStart"/>
      <w:r w:rsidRPr="00657C51">
        <w:rPr>
          <w:rFonts w:ascii="Times New Roman" w:eastAsia="Times New Roman" w:hAnsi="Times New Roman" w:cs="Times New Roman"/>
          <w:i/>
          <w:iCs/>
          <w:sz w:val="24"/>
          <w:szCs w:val="24"/>
          <w:lang w:eastAsia="tr-TR"/>
        </w:rPr>
        <w:t>subsidiarite</w:t>
      </w:r>
      <w:proofErr w:type="spellEnd"/>
      <w:r w:rsidRPr="00657C51">
        <w:rPr>
          <w:rFonts w:ascii="Times New Roman" w:eastAsia="Times New Roman" w:hAnsi="Times New Roman" w:cs="Times New Roman"/>
          <w:sz w:val="24"/>
          <w:szCs w:val="24"/>
          <w:lang w:eastAsia="tr-TR"/>
        </w:rPr>
        <w:t xml:space="preserve"> ilkesine neden uygun olmadığını gerekçeleri ile belirtme imkânına kavuşmaktadır. Avrupa Parlamentosu, AB (Bakanlar) Konseyi ve Komisyon bu görüşleri dikkate alacaktır. Bu nitelikteki gerekçeli görüşlerin üye devlet parlamentolarının üçte biri tarafından verilmiş olması halinde Komisyon önerisini yeniden gözden geçirecektir. Bu gözden geçirmenin sonucunda Komisyon önerisini olduğu gibi muhafaza etme, değiştirme veya geri çekme tercihlerinden birini kullanacak ve kararını gerekçelendirecektir. İlgili görüşün ulusal parlamentoların yarıdan fazlası tarafından verilmesi halinde Komisyonun önerisini gözden geçirmesi, yeniden gerekçelendirmesi ve önerinin Avrupa Parlamentosu ya da AB Konseyinde çoğunluk oyu ile reddedilmesi </w:t>
      </w:r>
      <w:proofErr w:type="spellStart"/>
      <w:r w:rsidRPr="00657C51">
        <w:rPr>
          <w:rFonts w:ascii="Times New Roman" w:eastAsia="Times New Roman" w:hAnsi="Times New Roman" w:cs="Times New Roman"/>
          <w:sz w:val="24"/>
          <w:szCs w:val="24"/>
          <w:lang w:eastAsia="tr-TR"/>
        </w:rPr>
        <w:t>imkânı</w:t>
      </w:r>
      <w:r w:rsidRPr="00657C51">
        <w:rPr>
          <w:rFonts w:ascii="Times New Roman" w:eastAsia="Times New Roman" w:hAnsi="Times New Roman" w:cs="Times New Roman"/>
          <w:vanish/>
          <w:sz w:val="24"/>
          <w:szCs w:val="24"/>
          <w:lang w:eastAsia="tr-TR"/>
        </w:rPr>
        <w:t xml:space="preserve"> </w:t>
      </w:r>
      <w:r w:rsidRPr="00657C51">
        <w:rPr>
          <w:rFonts w:ascii="Times New Roman" w:eastAsia="Times New Roman" w:hAnsi="Times New Roman" w:cs="Times New Roman"/>
          <w:sz w:val="24"/>
          <w:szCs w:val="24"/>
          <w:lang w:eastAsia="tr-TR"/>
        </w:rPr>
        <w:t>da</w:t>
      </w:r>
      <w:proofErr w:type="spellEnd"/>
      <w:r w:rsidRPr="00657C51">
        <w:rPr>
          <w:rFonts w:ascii="Times New Roman" w:eastAsia="Times New Roman" w:hAnsi="Times New Roman" w:cs="Times New Roman"/>
          <w:sz w:val="24"/>
          <w:szCs w:val="24"/>
          <w:lang w:eastAsia="tr-TR"/>
        </w:rPr>
        <w:t xml:space="preserve"> Lizbon Antlaşmasında </w:t>
      </w:r>
      <w:proofErr w:type="spellStart"/>
      <w:r w:rsidRPr="00657C51">
        <w:rPr>
          <w:rFonts w:ascii="Times New Roman" w:eastAsia="Times New Roman" w:hAnsi="Times New Roman" w:cs="Times New Roman"/>
          <w:sz w:val="24"/>
          <w:szCs w:val="24"/>
          <w:lang w:eastAsia="tr-TR"/>
        </w:rPr>
        <w:t>öngörülmektedir.</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color w:val="000000"/>
          <w:sz w:val="24"/>
          <w:szCs w:val="24"/>
          <w:lang w:eastAsia="tr-TR"/>
        </w:rPr>
        <w:t>Ulusal</w:t>
      </w:r>
      <w:proofErr w:type="spellEnd"/>
      <w:r w:rsidRPr="00657C51">
        <w:rPr>
          <w:rFonts w:ascii="Times New Roman" w:eastAsia="Times New Roman" w:hAnsi="Times New Roman" w:cs="Times New Roman"/>
          <w:color w:val="000000"/>
          <w:sz w:val="24"/>
          <w:szCs w:val="24"/>
          <w:lang w:eastAsia="tr-TR"/>
        </w:rPr>
        <w:t xml:space="preserve"> parlamentoların yasama önerilerini önceden inceleme süresi Anayasal Antlaşmada öngörülen 6 haftadan, Lizbon Antlaşması ile 8 haftaya çıkarılacak; Komisyon önerilerinin </w:t>
      </w:r>
      <w:r w:rsidRPr="00657C51">
        <w:rPr>
          <w:rFonts w:ascii="Times New Roman" w:eastAsia="Times New Roman" w:hAnsi="Times New Roman" w:cs="Times New Roman"/>
          <w:iCs/>
          <w:color w:val="000000"/>
          <w:sz w:val="24"/>
          <w:szCs w:val="24"/>
          <w:lang w:eastAsia="tr-TR"/>
        </w:rPr>
        <w:t xml:space="preserve">katmanlı yetki </w:t>
      </w:r>
      <w:r w:rsidRPr="00657C51">
        <w:rPr>
          <w:rFonts w:ascii="Times New Roman" w:eastAsia="Times New Roman" w:hAnsi="Times New Roman" w:cs="Times New Roman"/>
          <w:color w:val="000000"/>
          <w:sz w:val="24"/>
          <w:szCs w:val="24"/>
          <w:lang w:eastAsia="tr-TR"/>
        </w:rPr>
        <w:t>ilkesine uygunluğu bakımından ulusal parlamentoların itirazda bulunma mekanizmalarında yukarıda belirtilen bazı güçlendirmeler yapılacaktır.</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bCs/>
          <w:iCs/>
          <w:sz w:val="24"/>
          <w:szCs w:val="24"/>
          <w:lang w:eastAsia="tr-TR"/>
        </w:rPr>
      </w:pPr>
      <w:r w:rsidRPr="00657C51">
        <w:rPr>
          <w:rFonts w:ascii="Times New Roman" w:eastAsia="Times New Roman" w:hAnsi="Times New Roman" w:cs="Times New Roman"/>
          <w:b/>
          <w:bCs/>
          <w:iCs/>
          <w:sz w:val="24"/>
          <w:szCs w:val="24"/>
          <w:lang w:eastAsia="tr-TR"/>
        </w:rPr>
        <w:t>Ulusal Parlamentoların Rolü Hakkında Protokol</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Nice ve </w:t>
      </w:r>
      <w:proofErr w:type="spellStart"/>
      <w:r w:rsidRPr="00657C51">
        <w:rPr>
          <w:rFonts w:ascii="Times New Roman" w:eastAsia="Times New Roman" w:hAnsi="Times New Roman" w:cs="Times New Roman"/>
          <w:sz w:val="24"/>
          <w:szCs w:val="24"/>
          <w:lang w:eastAsia="tr-TR"/>
        </w:rPr>
        <w:t>Laeken</w:t>
      </w:r>
      <w:proofErr w:type="spellEnd"/>
      <w:r w:rsidRPr="00657C51">
        <w:rPr>
          <w:rFonts w:ascii="Times New Roman" w:eastAsia="Times New Roman" w:hAnsi="Times New Roman" w:cs="Times New Roman"/>
          <w:sz w:val="24"/>
          <w:szCs w:val="24"/>
          <w:lang w:eastAsia="tr-TR"/>
        </w:rPr>
        <w:t xml:space="preserve"> Zirvelerinde yayınlanan Avrupa Birliğinin Geleceği Bildirilerinde de öngörüldüğü üzere, ulusal parlamentoların Avrupa bütünleşmesi sürecine katılımlarının ve rollerinin güçlendirilmesi, özellikle yetki ve demokratik meşruiyet sorunları açısından, önem taşımaktadır. Bu amaçla Amsterdam Antlaşmasına ekli Protokol’ün Anayasal Antlaşmada olduğu üzere, çok büyük değişikliklere gidilmeksizin Lizbon Antlaşmasına da dâhil edildiği görülmektedir. Bu çerçevede, Komisyon tarafından hazırlanan tüm danışma dokümanları (yeşil ve beyaz kitaplar) yayınlandıkları tarihte üye devletlerin ulusal parlamentolarına gönderilecektir. Bundan başka, Avrupa Parlamentosuna ve AB (Bakanlar) Konseyine sunulan tüm yasama önerileri de aynı anda ulusal parlamentolara iletilecektir. Önemli bir yenilik olarak, yukarıda belirtildiği üzere, ulusal parlamentolar, Avrupa Parlamentosu, AB (Bakanlar Konseyi) ve Komisyona bir yasama önerisinin </w:t>
      </w:r>
      <w:r w:rsidRPr="00657C51">
        <w:rPr>
          <w:rFonts w:ascii="Times New Roman" w:eastAsia="Times New Roman" w:hAnsi="Times New Roman" w:cs="Times New Roman"/>
          <w:iCs/>
          <w:sz w:val="24"/>
          <w:szCs w:val="24"/>
          <w:lang w:eastAsia="tr-TR"/>
        </w:rPr>
        <w:t xml:space="preserve">katmanlı yetki </w:t>
      </w:r>
      <w:r w:rsidRPr="00657C51">
        <w:rPr>
          <w:rFonts w:ascii="Times New Roman" w:eastAsia="Times New Roman" w:hAnsi="Times New Roman" w:cs="Times New Roman"/>
          <w:sz w:val="24"/>
          <w:szCs w:val="24"/>
          <w:lang w:eastAsia="tr-TR"/>
        </w:rPr>
        <w:t xml:space="preserve">ilkesine uygun olup olmadığı konusunda gerekçeli görüş gönderebileceklerdir. Bundan başka, bir yasama önerisinin ulusal parlamentolara gönderilmesi ile yasama sürecinde AB (Bakanlar) Konseyi tarafından karara bağlanmak üzere gündeme alınması arasında en az 8 haftalık bir sürenin geçmesi öngörülmektedir. Anayasal Antlaşmada öngörülen süre olan 6 haftanın 8 haftaya çıkarılması ile Hollanda gibi bazı üye devletlerin tatmin edilmesi amaçlanmıştır. Konseyin yasama amaçlı müzakerelerinin tutanakları da gündem ve sonuçlar ile birlikte ulusal parlamentolara iletilecektir. </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Avrupa Parlamentosu ile ulusal parlamentolar arasındaki işbirliğinin geliştirilmesine ilişkin düzenlemelerin ortaklaşa kararlaştırılması ve üye devletlerin ulusal parlamentolarının Avrupa Birliği işlerinden sorunlu komisyonlarının düzenli işbirliği platformu niteliğindeki COSAC oluşumunun devamı da Lizbon Antlaşmasında öngörülmektedir.</w:t>
      </w:r>
    </w:p>
    <w:p w:rsidR="00657C51" w:rsidRPr="00657C51" w:rsidRDefault="00657C51" w:rsidP="00657C51">
      <w:pPr>
        <w:keepNext/>
        <w:spacing w:before="100" w:beforeAutospacing="1" w:after="100" w:afterAutospacing="1" w:line="240" w:lineRule="auto"/>
        <w:jc w:val="both"/>
        <w:outlineLvl w:val="0"/>
        <w:rPr>
          <w:rFonts w:ascii="Times New Roman" w:eastAsia="Times New Roman" w:hAnsi="Times New Roman" w:cs="Times New Roman"/>
          <w:b/>
          <w:bCs/>
          <w:iCs/>
          <w:sz w:val="24"/>
          <w:szCs w:val="24"/>
          <w:lang w:eastAsia="tr-TR"/>
        </w:rPr>
      </w:pPr>
      <w:r w:rsidRPr="00657C51">
        <w:rPr>
          <w:rFonts w:ascii="Times New Roman" w:eastAsia="Times New Roman" w:hAnsi="Times New Roman" w:cs="Times New Roman"/>
          <w:b/>
          <w:bCs/>
          <w:iCs/>
          <w:sz w:val="24"/>
          <w:szCs w:val="24"/>
          <w:lang w:eastAsia="tr-TR"/>
        </w:rPr>
        <w:t>Avrupa Birliğinin Hukuki Tasarrufları</w:t>
      </w:r>
    </w:p>
    <w:p w:rsidR="00657C51" w:rsidRPr="00657C51" w:rsidRDefault="00657C51" w:rsidP="00657C51">
      <w:pPr>
        <w:keepNext/>
        <w:spacing w:before="100" w:beforeAutospacing="1" w:after="100" w:afterAutospacing="1" w:line="240" w:lineRule="auto"/>
        <w:ind w:firstLine="708"/>
        <w:jc w:val="both"/>
        <w:outlineLvl w:val="0"/>
        <w:rPr>
          <w:rFonts w:ascii="Times New Roman" w:eastAsia="Times New Roman" w:hAnsi="Times New Roman" w:cs="Times New Roman"/>
          <w:bCs/>
          <w:sz w:val="24"/>
          <w:szCs w:val="24"/>
          <w:lang w:eastAsia="tr-TR"/>
        </w:rPr>
      </w:pPr>
      <w:r w:rsidRPr="00657C51">
        <w:rPr>
          <w:rFonts w:ascii="Times New Roman" w:eastAsia="Times New Roman" w:hAnsi="Times New Roman" w:cs="Times New Roman"/>
          <w:sz w:val="24"/>
          <w:szCs w:val="24"/>
          <w:lang w:eastAsia="tr-TR"/>
        </w:rPr>
        <w:t>Anayasal Antlaşma ile Birliğin hukuki tasarrufları yeniden tanımlanıp adlandırılmıştı. Buna göre, bugün için “tüzük” adını alan tasarruflar “Avrupa Yasası”, “</w:t>
      </w:r>
      <w:proofErr w:type="spellStart"/>
      <w:r w:rsidRPr="00657C51">
        <w:rPr>
          <w:rFonts w:ascii="Times New Roman" w:eastAsia="Times New Roman" w:hAnsi="Times New Roman" w:cs="Times New Roman"/>
          <w:sz w:val="24"/>
          <w:szCs w:val="24"/>
          <w:lang w:eastAsia="tr-TR"/>
        </w:rPr>
        <w:t>direktif”ler</w:t>
      </w:r>
      <w:proofErr w:type="spellEnd"/>
      <w:r w:rsidRPr="00657C51">
        <w:rPr>
          <w:rFonts w:ascii="Times New Roman" w:eastAsia="Times New Roman" w:hAnsi="Times New Roman" w:cs="Times New Roman"/>
          <w:sz w:val="24"/>
          <w:szCs w:val="24"/>
          <w:lang w:eastAsia="tr-TR"/>
        </w:rPr>
        <w:t xml:space="preserve"> “Avrupa Çerçeve Yasası”, “</w:t>
      </w:r>
      <w:proofErr w:type="spellStart"/>
      <w:r w:rsidRPr="00657C51">
        <w:rPr>
          <w:rFonts w:ascii="Times New Roman" w:eastAsia="Times New Roman" w:hAnsi="Times New Roman" w:cs="Times New Roman"/>
          <w:sz w:val="24"/>
          <w:szCs w:val="24"/>
          <w:lang w:eastAsia="tr-TR"/>
        </w:rPr>
        <w:t>karar”lar</w:t>
      </w:r>
      <w:proofErr w:type="spellEnd"/>
      <w:r w:rsidRPr="00657C51">
        <w:rPr>
          <w:rFonts w:ascii="Times New Roman" w:eastAsia="Times New Roman" w:hAnsi="Times New Roman" w:cs="Times New Roman"/>
          <w:sz w:val="24"/>
          <w:szCs w:val="24"/>
          <w:lang w:eastAsia="tr-TR"/>
        </w:rPr>
        <w:t xml:space="preserve"> ise “Avrupa Kararı” olarak adlandırılacaktı. Bunun dışında bağlayıcı olmayan tasarruf türleri olarak görüş ve tavsiyeler de devam etmekteydi. Ayrıca yetki devrine dayanan tüzükler, direktifler ile uygulama tasarrufları gibi yasama dışı tasarruflar çıkarılması imkânı da Anayasal Antlaşma ile AB kurumlarına tanınmaktaydı. </w:t>
      </w:r>
    </w:p>
    <w:p w:rsidR="00657C51" w:rsidRPr="00657C51" w:rsidRDefault="00657C51" w:rsidP="00657C51">
      <w:pPr>
        <w:keepNext/>
        <w:spacing w:before="100" w:beforeAutospacing="1" w:after="100" w:afterAutospacing="1" w:line="240" w:lineRule="auto"/>
        <w:ind w:firstLine="708"/>
        <w:jc w:val="both"/>
        <w:outlineLvl w:val="0"/>
        <w:rPr>
          <w:rFonts w:ascii="Times New Roman" w:eastAsia="Times New Roman" w:hAnsi="Times New Roman" w:cs="Times New Roman"/>
          <w:bCs/>
          <w:color w:val="000000"/>
          <w:sz w:val="24"/>
          <w:szCs w:val="24"/>
          <w:lang w:eastAsia="tr-TR"/>
        </w:rPr>
      </w:pPr>
      <w:r w:rsidRPr="00657C51">
        <w:rPr>
          <w:rFonts w:ascii="Times New Roman" w:eastAsia="Times New Roman" w:hAnsi="Times New Roman" w:cs="Times New Roman"/>
          <w:bCs/>
          <w:sz w:val="24"/>
          <w:szCs w:val="24"/>
          <w:lang w:eastAsia="tr-TR"/>
        </w:rPr>
        <w:t xml:space="preserve">Lizbon Antlaşması ise, üye devletlerin bir kısmında Birliğin devlet benzeri niteliğini vurguladığı gerekçesiyle tereddütlere neden olan </w:t>
      </w:r>
      <w:r w:rsidRPr="00657C51">
        <w:rPr>
          <w:rFonts w:ascii="Times New Roman" w:eastAsia="Times New Roman" w:hAnsi="Times New Roman" w:cs="Times New Roman"/>
          <w:bCs/>
          <w:color w:val="000000"/>
          <w:sz w:val="24"/>
          <w:szCs w:val="24"/>
          <w:lang w:eastAsia="tr-TR"/>
        </w:rPr>
        <w:t>“Avrupa Yasaları”, “Avrupa Çerçeve Yasaları” “Avrupa Kararları” şeklindeki terminolojiden vazgeçerek, şu anki “tüzük”, “direktif”, “karar” terminolojisine geri dönmektedir. Yine de bu işlemlerin yasama tasarrufu niteliklerinin vurgulanmasının ve idari tasarruf ya da yasama dışı tasarruf nitelikli “yetki devrine dayalı tasarruflar” ve “uygulama tasarrufları” gibi işlemlerden farklarının ortaya konmasının da Lizbon Antlaşması tarafından yerine getirildiği görülmektedir. Bağlayıcı nitelikte olmayan tavsiye ve görüşler de yine mevcudiyetlerini devam ettirecektir.</w:t>
      </w:r>
    </w:p>
    <w:p w:rsidR="00657C51" w:rsidRPr="00657C51" w:rsidRDefault="00657C51" w:rsidP="00657C51">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iCs/>
          <w:sz w:val="24"/>
          <w:szCs w:val="24"/>
          <w:lang w:eastAsia="tr-TR"/>
        </w:rPr>
        <w:t>AB Temel Haklar Şartı</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Lizbon Antlaşmasının Anayasal Antlaşmadan en önemli farklarından biri Anayasal Antlaşma ile antlaşma metninin ikinci bölümü haline getirilen “AB Temel Haklar </w:t>
      </w:r>
      <w:proofErr w:type="spellStart"/>
      <w:r w:rsidRPr="00657C51">
        <w:rPr>
          <w:rFonts w:ascii="Times New Roman" w:eastAsia="Times New Roman" w:hAnsi="Times New Roman" w:cs="Times New Roman"/>
          <w:sz w:val="24"/>
          <w:szCs w:val="24"/>
          <w:lang w:eastAsia="tr-TR"/>
        </w:rPr>
        <w:t>Şartı”nın</w:t>
      </w:r>
      <w:proofErr w:type="spellEnd"/>
      <w:r w:rsidRPr="00657C51">
        <w:rPr>
          <w:rFonts w:ascii="Times New Roman" w:eastAsia="Times New Roman" w:hAnsi="Times New Roman" w:cs="Times New Roman"/>
          <w:sz w:val="24"/>
          <w:szCs w:val="24"/>
          <w:lang w:eastAsia="tr-TR"/>
        </w:rPr>
        <w:t xml:space="preserve">, Lizbon Antlaşmasının bir parçası olmamasıdır. Buna karşılık, Lizbon Antlaşması sadece AB Antlaşması madde 6’da AB Temel Haklar Şartına atıfta bulunulması şeklinde bir çözüme yer vermektedir. Buna rağmen Şartın hukuki bağlayıcılık kazanması bu yöntemle de mümkün olacağından hukuki açıdan Anayasal Antlaşmada öngörülene kıyasla pek de önemli bir değişiklik olmayacaktır. </w:t>
      </w:r>
      <w:proofErr w:type="gramStart"/>
      <w:r w:rsidRPr="00657C51">
        <w:rPr>
          <w:rFonts w:ascii="Times New Roman" w:eastAsia="Times New Roman" w:hAnsi="Times New Roman" w:cs="Times New Roman"/>
          <w:sz w:val="24"/>
          <w:szCs w:val="24"/>
          <w:lang w:eastAsia="tr-TR"/>
        </w:rPr>
        <w:t>Nitekim,</w:t>
      </w:r>
      <w:proofErr w:type="gramEnd"/>
      <w:r w:rsidRPr="00657C51">
        <w:rPr>
          <w:rFonts w:ascii="Times New Roman" w:eastAsia="Times New Roman" w:hAnsi="Times New Roman" w:cs="Times New Roman"/>
          <w:sz w:val="24"/>
          <w:szCs w:val="24"/>
          <w:lang w:eastAsia="tr-TR"/>
        </w:rPr>
        <w:t xml:space="preserve"> maddede de Temel Haklar Şartının antlaşmalarla eşit hukuki statüye sahip olacağı belirtilmektedir. </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Özellikle vurgulanan, Şartın Birlik kurumlarına yönelik olduğu ve sadece Birlik hukukunun uygulanma alanlarında geçerli olacağı; Birliğe herhangi bir yeni yetki tanınması anlamına gelmeyeceğidir. Temel Haklar Şartı bakımından asıl değişen ise, Şartın kurucu antlaşmaların bir parçası haline getirilmesindeki temel amacın bu hukuki metinlerin anayasal karakterinin vurgulanması olduğundan hareketle, Şartın Birliğin bir siyasi yapı olmasına yönelik etkisinde ortaya çıkmaktadır. Söz konusu amaç ve yöntem terk edilmiştir. Artık Şart, kurucu antlaşma metinlerinin bir parçası olmayacak, ancak hukuki statüsü ve etkisi 6. maddede kendisine yapılacak atıfla belirlenecektir. Bunun yanında İngiltere’nin ve Polonya’nın özel bir Protokolle Şartın ulusal mahkemelerde ileri sürülebilir haklar yaratma niteliğini kendi hukuk düzenleri bakımından reddettiklerinin ve böylece Temel Haklar Şartından da bir çeşit </w:t>
      </w:r>
      <w:proofErr w:type="spellStart"/>
      <w:r w:rsidRPr="00657C51">
        <w:rPr>
          <w:rFonts w:ascii="Times New Roman" w:eastAsia="Times New Roman" w:hAnsi="Times New Roman" w:cs="Times New Roman"/>
          <w:i/>
          <w:iCs/>
          <w:sz w:val="24"/>
          <w:szCs w:val="24"/>
          <w:lang w:eastAsia="tr-TR"/>
        </w:rPr>
        <w:t>opt-out</w:t>
      </w:r>
      <w:proofErr w:type="spellEnd"/>
      <w:r w:rsidRPr="00657C51">
        <w:rPr>
          <w:rFonts w:ascii="Times New Roman" w:eastAsia="Times New Roman" w:hAnsi="Times New Roman" w:cs="Times New Roman"/>
          <w:i/>
          <w:iCs/>
          <w:sz w:val="24"/>
          <w:szCs w:val="24"/>
          <w:lang w:eastAsia="tr-TR"/>
        </w:rPr>
        <w:t xml:space="preserve"> </w:t>
      </w:r>
      <w:r w:rsidRPr="00657C51">
        <w:rPr>
          <w:rFonts w:ascii="Times New Roman" w:eastAsia="Times New Roman" w:hAnsi="Times New Roman" w:cs="Times New Roman"/>
          <w:sz w:val="24"/>
          <w:szCs w:val="24"/>
          <w:lang w:eastAsia="tr-TR"/>
        </w:rPr>
        <w:t xml:space="preserve">imkânına kavuştuklarının belirtilmesi gerekmektedir. </w:t>
      </w:r>
    </w:p>
    <w:p w:rsidR="00657C51" w:rsidRPr="00657C51" w:rsidRDefault="00657C51" w:rsidP="00657C51">
      <w:pPr>
        <w:tabs>
          <w:tab w:val="left" w:pos="1080"/>
        </w:tabs>
        <w:spacing w:before="100" w:beforeAutospacing="1" w:after="100" w:afterAutospacing="1" w:line="240" w:lineRule="auto"/>
        <w:jc w:val="both"/>
        <w:rPr>
          <w:rFonts w:ascii="Times New Roman" w:eastAsia="Times New Roman" w:hAnsi="Times New Roman" w:cs="Times New Roman"/>
          <w:b/>
          <w:bCs/>
          <w:iCs/>
          <w:sz w:val="24"/>
          <w:szCs w:val="24"/>
          <w:lang w:eastAsia="tr-TR"/>
        </w:rPr>
      </w:pPr>
      <w:r w:rsidRPr="00657C51">
        <w:rPr>
          <w:rFonts w:ascii="Times New Roman" w:eastAsia="Times New Roman" w:hAnsi="Times New Roman" w:cs="Times New Roman"/>
          <w:b/>
          <w:bCs/>
          <w:iCs/>
          <w:sz w:val="24"/>
          <w:szCs w:val="24"/>
          <w:lang w:eastAsia="tr-TR"/>
        </w:rPr>
        <w:t>Üyelikten Çekilme, Üyelik Haklarının Askıya Alınması, Genişleme ve Antlaşmaların Tadili</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Avrupa Birliğin temel değerlerinin ihlal edilmesi riski ile karşılaşılması durumunda Birlik karar organlarının bu riski oluşturan ülkenin üyelik haklarının askıya alınması konusunda karar verebilmesine imkân sağlayan mevcut AB Antlaşması hükmü Lizbon Antlaşmasında da yer almaktadır.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Anayasal Antlaşma metni ile öngörülen ve Lizbon Antlaşmasında da yer bulan önemli bir yenilik ise, Birliğe üye ülkelere Zirve’ye önceden bildirim yoluyla ve bir uluslararası antlaşma çerçevesinde üyelikten çekilme hakkının tanınmış olmasıdır. Üyelikten ayrılma antlaşması Birlik adına Avrupa Parlamentosu’nun da onayı alındıktan sonra AB Konseyi tarafından imzalanacaktır.</w:t>
      </w:r>
    </w:p>
    <w:p w:rsidR="00657C51" w:rsidRPr="00657C51" w:rsidRDefault="00657C51" w:rsidP="00657C51">
      <w:pPr>
        <w:tabs>
          <w:tab w:val="left" w:pos="1080"/>
        </w:tabs>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Bu husus, bugüne kadar üyelikten çekilme imkânının hukuken tanınmadığı Avrupa bütünleşmesi açısından tartışmalı sonuçlar doğurabilecek nitelikte, son derece önemli bir değişikliktir. </w:t>
      </w:r>
      <w:proofErr w:type="gramStart"/>
      <w:r w:rsidRPr="00657C51">
        <w:rPr>
          <w:rFonts w:ascii="Times New Roman" w:eastAsia="Times New Roman" w:hAnsi="Times New Roman" w:cs="Times New Roman"/>
          <w:sz w:val="24"/>
          <w:szCs w:val="24"/>
          <w:lang w:eastAsia="tr-TR"/>
        </w:rPr>
        <w:t xml:space="preserve">Bir yandan gittikçe derinleşen Avrupa bütünleşmesi içinde kalmayı arzu etmeyen ülkelere çıkış imkânı sağlama ve bu olasılığın mevcudiyetinin bile gerilimi azaltma ve ilgili ülkeleri bütünleşme içinde tutma açısından bir teşvik oluşturacağı temeline dayandırılan bu uygulamanın, öte yandan da gittikçe derinleşen bir Birlik içinde ortak çıkarların </w:t>
      </w:r>
      <w:proofErr w:type="spellStart"/>
      <w:r w:rsidRPr="00657C51">
        <w:rPr>
          <w:rFonts w:ascii="Times New Roman" w:eastAsia="Times New Roman" w:hAnsi="Times New Roman" w:cs="Times New Roman"/>
          <w:sz w:val="24"/>
          <w:szCs w:val="24"/>
          <w:lang w:eastAsia="tr-TR"/>
        </w:rPr>
        <w:t>azamileştirilmesi</w:t>
      </w:r>
      <w:proofErr w:type="spellEnd"/>
      <w:r w:rsidRPr="00657C51">
        <w:rPr>
          <w:rFonts w:ascii="Times New Roman" w:eastAsia="Times New Roman" w:hAnsi="Times New Roman" w:cs="Times New Roman"/>
          <w:sz w:val="24"/>
          <w:szCs w:val="24"/>
          <w:lang w:eastAsia="tr-TR"/>
        </w:rPr>
        <w:t xml:space="preserve"> esası üzerine inşa edilmiş Avrupa Birliği’ni sadakat ve ortak kader arayışından uzaklaştırma tehlikesi taşıdığı belirtilebilir.</w:t>
      </w:r>
      <w:proofErr w:type="gramEnd"/>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tr-TR"/>
        </w:rPr>
      </w:pPr>
      <w:r w:rsidRPr="00657C51">
        <w:rPr>
          <w:rFonts w:ascii="Times New Roman" w:eastAsia="Times New Roman" w:hAnsi="Times New Roman" w:cs="Times New Roman"/>
          <w:color w:val="000000"/>
          <w:sz w:val="24"/>
          <w:szCs w:val="24"/>
          <w:lang w:eastAsia="tr-TR"/>
        </w:rPr>
        <w:t>Genişleme konusunda, üyeliğe ehil olma koşullarına ilişkin Zirvelerde üzerinde anlaşılan hususların dikkate alınacağına atıfta bulunulması ile Birliğin değerlerine saygının yanı sıra bunları geliştirme idealine bağlılığın bir başvuru koşulu haline getirilmesi şeklinde bir eklemeye yer verildiği görülmektedir. Bir ülkenin Birliğe üyelik müracaatında bulunması halinde Avrupa Parlamentosuna ve ulusal parlamentolara bildirimde bulunulması da gerekecektir.</w:t>
      </w:r>
    </w:p>
    <w:p w:rsidR="00657C51" w:rsidRPr="00657C51" w:rsidRDefault="00657C51" w:rsidP="00657C51">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color w:val="000000"/>
          <w:sz w:val="24"/>
          <w:szCs w:val="24"/>
          <w:lang w:eastAsia="tr-TR"/>
        </w:rPr>
        <w:t xml:space="preserve">Antlaşmaların değiştirilmesi ile ilgili hükümde ise, altı özellikle çizilen, Birliğin yetkilerini arttırmanın yanı sıra daraltmaya ya da azaltmaya yönelik değişiklik antlaşmalarının da söz konusu olabileceğinin açıkça ifade edilmesidir. Bu ifade sürekli ve aşamalı biçimde ilerleyen bütünleşme ideali ile uyumu tartışılabilecek gelişmelere yol açabilecek niteliktedir. Bundan başka, aynı hükümde antlaşma değişikliklerinin olağan ve basitleştirilmiş olmak üzere iki farklı usulde yapılacağı da öngörülmektedir. </w:t>
      </w:r>
      <w:r w:rsidRPr="00657C51">
        <w:rPr>
          <w:rFonts w:ascii="Times New Roman" w:eastAsia="Times New Roman" w:hAnsi="Times New Roman" w:cs="Times New Roman"/>
          <w:sz w:val="24"/>
          <w:szCs w:val="24"/>
          <w:lang w:eastAsia="tr-TR"/>
        </w:rPr>
        <w:t>Parlamento, her iki usul bakımından da üye ülkeler ve Komisyonun yanı sıra Kurucu Antlaşma değişikliğine dair öneri sunabilme hakkına sahiptir. Ayrıca, olağan usulde, Zirve tarafından Antlaşma değişikliklerine dair önerilerin tartışılacağı Konvansiyon oluşturulmasına dair kararın alınmasından önce, basitleştirilmiş usulde ise, Zirve tarafından Antlaşma değişikliklerin yapılmasına dair kararın alınabilmesi için Parlamentoya danışılması öngörülmüştür.</w:t>
      </w:r>
    </w:p>
    <w:p w:rsidR="00657C51" w:rsidRPr="00657C51" w:rsidRDefault="00657C51" w:rsidP="00657C51">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1" w:name="_Toc496626933"/>
      <w:r w:rsidRPr="00657C51">
        <w:rPr>
          <w:rFonts w:ascii="Times New Roman" w:eastAsia="Times New Roman" w:hAnsi="Times New Roman" w:cs="Times New Roman"/>
          <w:b/>
          <w:sz w:val="24"/>
          <w:szCs w:val="24"/>
          <w:lang w:eastAsia="tr-TR"/>
        </w:rPr>
        <w:t xml:space="preserve">Tablo </w:t>
      </w:r>
      <w:r w:rsidRPr="00657C51">
        <w:rPr>
          <w:rFonts w:ascii="Times New Roman" w:eastAsia="Times New Roman" w:hAnsi="Times New Roman" w:cs="Times New Roman"/>
          <w:b/>
          <w:sz w:val="24"/>
          <w:szCs w:val="24"/>
          <w:lang w:eastAsia="tr-TR"/>
        </w:rPr>
        <w:fldChar w:fldCharType="begin"/>
      </w:r>
      <w:r w:rsidRPr="00657C51">
        <w:rPr>
          <w:rFonts w:ascii="Times New Roman" w:eastAsia="Times New Roman" w:hAnsi="Times New Roman" w:cs="Times New Roman"/>
          <w:b/>
          <w:sz w:val="24"/>
          <w:szCs w:val="24"/>
          <w:lang w:eastAsia="tr-TR"/>
        </w:rPr>
        <w:instrText xml:space="preserve"> SEQ Tablo \* ARABIC </w:instrText>
      </w:r>
      <w:r w:rsidRPr="00657C51">
        <w:rPr>
          <w:rFonts w:ascii="Times New Roman" w:eastAsia="Times New Roman" w:hAnsi="Times New Roman" w:cs="Times New Roman"/>
          <w:b/>
          <w:sz w:val="24"/>
          <w:szCs w:val="24"/>
          <w:lang w:eastAsia="tr-TR"/>
        </w:rPr>
        <w:fldChar w:fldCharType="separate"/>
      </w:r>
      <w:r w:rsidRPr="00657C51">
        <w:rPr>
          <w:rFonts w:ascii="Times New Roman" w:eastAsia="Times New Roman" w:hAnsi="Times New Roman" w:cs="Times New Roman"/>
          <w:b/>
          <w:noProof/>
          <w:sz w:val="24"/>
          <w:szCs w:val="24"/>
          <w:lang w:eastAsia="tr-TR"/>
        </w:rPr>
        <w:t>7</w:t>
      </w:r>
      <w:r w:rsidRPr="00657C51">
        <w:rPr>
          <w:rFonts w:ascii="Times New Roman" w:eastAsia="Times New Roman" w:hAnsi="Times New Roman" w:cs="Times New Roman"/>
          <w:b/>
          <w:noProof/>
          <w:sz w:val="24"/>
          <w:szCs w:val="24"/>
          <w:lang w:eastAsia="tr-TR"/>
        </w:rPr>
        <w:fldChar w:fldCharType="end"/>
      </w:r>
      <w:r w:rsidRPr="00657C51">
        <w:rPr>
          <w:rFonts w:ascii="Times New Roman" w:eastAsia="Times New Roman" w:hAnsi="Times New Roman" w:cs="Times New Roman"/>
          <w:b/>
          <w:sz w:val="24"/>
          <w:szCs w:val="24"/>
          <w:lang w:eastAsia="tr-TR"/>
        </w:rPr>
        <w:t>: Lizbon Antlaşması (LA): 2007/2009</w:t>
      </w:r>
      <w:bookmarkEnd w:id="1"/>
    </w:p>
    <w:tbl>
      <w:tblPr>
        <w:tblStyle w:val="TabloKlavuzu"/>
        <w:tblW w:w="5000" w:type="pct"/>
        <w:tblLook w:val="04A0" w:firstRow="1" w:lastRow="0" w:firstColumn="1" w:lastColumn="0" w:noHBand="0" w:noVBand="1"/>
      </w:tblPr>
      <w:tblGrid>
        <w:gridCol w:w="4644"/>
        <w:gridCol w:w="4644"/>
      </w:tblGrid>
      <w:tr w:rsidR="00657C51" w:rsidRPr="00657C51" w:rsidTr="00143553">
        <w:tc>
          <w:tcPr>
            <w:tcW w:w="2500" w:type="pct"/>
          </w:tcPr>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b/>
                <w:sz w:val="24"/>
                <w:szCs w:val="24"/>
                <w:lang w:eastAsia="tr-TR"/>
              </w:rPr>
              <w:t>Derinleşme Aşamasına Giden Yol</w:t>
            </w:r>
          </w:p>
        </w:tc>
        <w:tc>
          <w:tcPr>
            <w:tcW w:w="2500" w:type="pct"/>
          </w:tcPr>
          <w:p w:rsidR="00657C51" w:rsidRPr="00657C51" w:rsidRDefault="00657C51" w:rsidP="00657C51">
            <w:pPr>
              <w:spacing w:before="100" w:beforeAutospacing="1" w:after="100" w:afterAutospacing="1"/>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b/>
                <w:sz w:val="24"/>
                <w:szCs w:val="24"/>
                <w:lang w:eastAsia="tr-TR"/>
              </w:rPr>
              <w:t>Derinleşme Aşamasının Getirdikleri</w:t>
            </w:r>
          </w:p>
        </w:tc>
      </w:tr>
      <w:tr w:rsidR="00657C51" w:rsidRPr="00657C51" w:rsidTr="00143553">
        <w:tc>
          <w:tcPr>
            <w:tcW w:w="2500" w:type="pct"/>
          </w:tcPr>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*2000 yılı aralık ayında Nice Zirvesinde üzerinde uzlaşılan Nice Antlaşması’nın eki olarak yayınlanan “Avrupa Birliğinin Geleceği” </w:t>
            </w:r>
            <w:proofErr w:type="gramStart"/>
            <w:r w:rsidRPr="00657C51">
              <w:rPr>
                <w:rFonts w:ascii="Times New Roman" w:eastAsia="Times New Roman" w:hAnsi="Times New Roman" w:cs="Times New Roman"/>
                <w:sz w:val="24"/>
                <w:szCs w:val="24"/>
                <w:lang w:eastAsia="tr-TR"/>
              </w:rPr>
              <w:t>deklarasyonu</w:t>
            </w:r>
            <w:proofErr w:type="gramEnd"/>
            <w:r w:rsidRPr="00657C51">
              <w:rPr>
                <w:rFonts w:ascii="Times New Roman" w:eastAsia="Times New Roman" w:hAnsi="Times New Roman" w:cs="Times New Roman"/>
                <w:sz w:val="24"/>
                <w:szCs w:val="24"/>
                <w:lang w:eastAsia="tr-TR"/>
              </w:rPr>
              <w:t xml:space="preserve"> ile başlatılan, 7 yıl süren ve son derece sancılı geçen Avrupa Birliği reform sürecinin, 13 Aralık 2007 tarihinde Lizbon’da imzalanan Reform (Lizbon) Antlaşması’nın 1 Aralık 2009 </w:t>
            </w:r>
            <w:r w:rsidRPr="00657C51">
              <w:rPr>
                <w:rFonts w:ascii="Times New Roman" w:eastAsia="Times New Roman" w:hAnsi="Times New Roman" w:cs="Times New Roman"/>
                <w:sz w:val="24"/>
                <w:szCs w:val="24"/>
                <w:lang w:eastAsia="tr-TR"/>
              </w:rPr>
              <w:lastRenderedPageBreak/>
              <w:t>tarihinde yürürlüğe girmesi ile sona ermesi,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*“Nice-Sonrası Süreç” olarak adlandırılan bu süreçte, Avrupa Birliği’nin yapısının ve geleceğinin tüm boyutları ile tartışılmasının ve birliğe yeni bir yön belirlenmesinin amaçlanması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*Bu süreçte, özellikle genişleme sonrası 27-30 ve belki de 35 üyeye ulaşacak Birliğin vatandaşları ile arasındaki uzaklığın kapatılması ve demokratik meşruiyetinin arttırılması ile 21. yüzyılın fırsat ve tehditleri ile başa çıkabilecek kurumlara, politikalara ve mali araçlara, bir başka deyişle etkili işleyip sonuç üreten bir yapıya kavuşturulmasının öngörülmesi,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*Bu süreçte kendine özgü, saydam ve katılımcı bir konvansiyon yöntemiyle hazırlanıp </w:t>
            </w:r>
            <w:proofErr w:type="spellStart"/>
            <w:r w:rsidRPr="00657C51">
              <w:rPr>
                <w:rFonts w:ascii="Times New Roman" w:eastAsia="Times New Roman" w:hAnsi="Times New Roman" w:cs="Times New Roman"/>
                <w:sz w:val="24"/>
                <w:szCs w:val="24"/>
                <w:lang w:eastAsia="tr-TR"/>
              </w:rPr>
              <w:t>hükümetlerarası</w:t>
            </w:r>
            <w:proofErr w:type="spellEnd"/>
            <w:r w:rsidRPr="00657C51">
              <w:rPr>
                <w:rFonts w:ascii="Times New Roman" w:eastAsia="Times New Roman" w:hAnsi="Times New Roman" w:cs="Times New Roman"/>
                <w:sz w:val="24"/>
                <w:szCs w:val="24"/>
                <w:lang w:eastAsia="tr-TR"/>
              </w:rPr>
              <w:t xml:space="preserve"> konferansta üye devletler tarafından son şekli verilen “Avrupa için Bir Anayasa Öngören </w:t>
            </w:r>
            <w:proofErr w:type="spellStart"/>
            <w:r w:rsidRPr="00657C51">
              <w:rPr>
                <w:rFonts w:ascii="Times New Roman" w:eastAsia="Times New Roman" w:hAnsi="Times New Roman" w:cs="Times New Roman"/>
                <w:sz w:val="24"/>
                <w:szCs w:val="24"/>
                <w:lang w:eastAsia="tr-TR"/>
              </w:rPr>
              <w:t>Antlaşma”nın</w:t>
            </w:r>
            <w:proofErr w:type="spellEnd"/>
            <w:r w:rsidRPr="00657C51">
              <w:rPr>
                <w:rFonts w:ascii="Times New Roman" w:eastAsia="Times New Roman" w:hAnsi="Times New Roman" w:cs="Times New Roman"/>
                <w:sz w:val="24"/>
                <w:szCs w:val="24"/>
                <w:lang w:eastAsia="tr-TR"/>
              </w:rPr>
              <w:t xml:space="preserve"> (Anayasal Antlaşma) 29 Ekim 2004 günü Roma’da düzenlenen törenle imzalanması, </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*Üye devletler tarafından kendi anayasal usullerine göre onaylanma aşamasına geçilen “Anayasal </w:t>
            </w:r>
            <w:proofErr w:type="spellStart"/>
            <w:r w:rsidRPr="00657C51">
              <w:rPr>
                <w:rFonts w:ascii="Times New Roman" w:eastAsia="Times New Roman" w:hAnsi="Times New Roman" w:cs="Times New Roman"/>
                <w:sz w:val="24"/>
                <w:szCs w:val="24"/>
                <w:lang w:eastAsia="tr-TR"/>
              </w:rPr>
              <w:t>Antlaşma”nın</w:t>
            </w:r>
            <w:proofErr w:type="spellEnd"/>
            <w:r w:rsidRPr="00657C51">
              <w:rPr>
                <w:rFonts w:ascii="Times New Roman" w:eastAsia="Times New Roman" w:hAnsi="Times New Roman" w:cs="Times New Roman"/>
                <w:sz w:val="24"/>
                <w:szCs w:val="24"/>
                <w:lang w:eastAsia="tr-TR"/>
              </w:rPr>
              <w:t xml:space="preserve"> 2006 Kasımında bu sürecin tamamlanması sonucu yürürlüğe girmesinin öngörülmesi, ancak, Fransa ve Hollanda’da 2005 Mayıs ve Haziranında gerçekleştirilen referandumların olumsuz sonuçlanması ile girilen belirsizlik dönemi,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*25 Mart 2007 tarihinde Berlin’de gerçekleşen Roma Antlaşması’nın 50. yılı kutlamalarında yayınlanan 50. yıl bildirisi ile üye devletlerin 2009 yılındaki Avrupa Parlamentosu seçimlerine kadar birliği yenilenmiş bir ortak temel üzerine oturtmak hususunda bir irade beyanında bulunmaları. </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*Bildiride, ayrıca, Haziran 2007 Zirvesinde Almanya dönem başkanlığının kurumsal reform ile ilgili ne gibi adımlar atılabileceğine dair önerilerini somutlaştırarak üye devletlere sunmasının, Portekiz dönem başkanlığında gerçekleşecek Aralık 2007 Zirvesinin ise yeni bir kurucu </w:t>
            </w:r>
            <w:r w:rsidRPr="00657C51">
              <w:rPr>
                <w:rFonts w:ascii="Times New Roman" w:eastAsia="Times New Roman" w:hAnsi="Times New Roman" w:cs="Times New Roman"/>
                <w:sz w:val="24"/>
                <w:szCs w:val="24"/>
                <w:lang w:eastAsia="tr-TR"/>
              </w:rPr>
              <w:lastRenderedPageBreak/>
              <w:t>antlaşma metni üzerinde uzlaşmasının öngörülmesi.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*Üye devletlerin 21-22 Haziran 2007 Zirvesinde üzerinde uzlaşıya vardıkları ve Zirve sonuç bildirisinin 1 </w:t>
            </w:r>
            <w:proofErr w:type="spellStart"/>
            <w:r w:rsidRPr="00657C51">
              <w:rPr>
                <w:rFonts w:ascii="Times New Roman" w:eastAsia="Times New Roman" w:hAnsi="Times New Roman" w:cs="Times New Roman"/>
                <w:sz w:val="24"/>
                <w:szCs w:val="24"/>
                <w:lang w:eastAsia="tr-TR"/>
              </w:rPr>
              <w:t>no’lu</w:t>
            </w:r>
            <w:proofErr w:type="spellEnd"/>
            <w:r w:rsidRPr="00657C51">
              <w:rPr>
                <w:rFonts w:ascii="Times New Roman" w:eastAsia="Times New Roman" w:hAnsi="Times New Roman" w:cs="Times New Roman"/>
                <w:sz w:val="24"/>
                <w:szCs w:val="24"/>
                <w:lang w:eastAsia="tr-TR"/>
              </w:rPr>
              <w:t xml:space="preserve"> ekinde yer alan müzakere mandası çerçevesinde meydana getirdikleri bir “Reform Antlaşması” ile Anayasal Antlaşma’nın yerinde ve zorunlu addedilen hükümlerini yürürlüğe sokma niyetinde olduklarının görülmesi. </w:t>
            </w:r>
          </w:p>
          <w:p w:rsidR="00657C51" w:rsidRPr="00657C51" w:rsidRDefault="00657C51" w:rsidP="00657C51">
            <w:pPr>
              <w:spacing w:before="100" w:beforeAutospacing="1" w:after="100" w:afterAutospacing="1"/>
              <w:jc w:val="both"/>
              <w:rPr>
                <w:rFonts w:ascii="Times New Roman" w:eastAsia="Times New Roman" w:hAnsi="Times New Roman" w:cs="Times New Roman"/>
                <w:b/>
                <w:sz w:val="24"/>
                <w:szCs w:val="24"/>
                <w:lang w:eastAsia="tr-TR"/>
              </w:rPr>
            </w:pPr>
            <w:r w:rsidRPr="00657C51">
              <w:rPr>
                <w:rFonts w:ascii="Times New Roman" w:eastAsia="Times New Roman" w:hAnsi="Times New Roman" w:cs="Times New Roman"/>
                <w:sz w:val="24"/>
                <w:szCs w:val="24"/>
                <w:lang w:eastAsia="tr-TR"/>
              </w:rPr>
              <w:t>*13 Aralık 2007’de Lizbon’da imzalanan reform antlaşmasının Lizbon Antlaşması adını alması ve üye devletlerde İrlanda’nın iki defa referanduma gitmesi ihtiyacının doğması hariç, sorunsuz geçen bir onay süreci sonrası 1 Aralık 2009’da yürürlüğe girmesi</w:t>
            </w:r>
          </w:p>
        </w:tc>
        <w:tc>
          <w:tcPr>
            <w:tcW w:w="2500" w:type="pct"/>
          </w:tcPr>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lastRenderedPageBreak/>
              <w:t xml:space="preserve">*Sütun yapısının ve “Avrupa Topluluğunun” ortadan kalkması, bütünleşmeye ilişkin tüm hususların AB çatısı altında düzenlenmesi, </w:t>
            </w:r>
            <w:proofErr w:type="spellStart"/>
            <w:r w:rsidRPr="00657C51">
              <w:rPr>
                <w:rFonts w:ascii="Times New Roman" w:eastAsia="Times New Roman" w:hAnsi="Times New Roman" w:cs="Times New Roman"/>
                <w:sz w:val="24"/>
                <w:szCs w:val="24"/>
                <w:lang w:eastAsia="tr-TR"/>
              </w:rPr>
              <w:t>AAET’nin</w:t>
            </w:r>
            <w:proofErr w:type="spellEnd"/>
            <w:r w:rsidRPr="00657C51">
              <w:rPr>
                <w:rFonts w:ascii="Times New Roman" w:eastAsia="Times New Roman" w:hAnsi="Times New Roman" w:cs="Times New Roman"/>
                <w:sz w:val="24"/>
                <w:szCs w:val="24"/>
                <w:lang w:eastAsia="tr-TR"/>
              </w:rPr>
              <w:t xml:space="preserve"> ayrı kurucu antlaşma temelinde devamı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*AT’yi kuran Roma Antlaşması’nın adının AB’nin İşleyişi Hakkında Antlaşma olarak </w:t>
            </w:r>
            <w:r w:rsidRPr="00657C51">
              <w:rPr>
                <w:rFonts w:ascii="Times New Roman" w:eastAsia="Times New Roman" w:hAnsi="Times New Roman" w:cs="Times New Roman"/>
                <w:sz w:val="24"/>
                <w:szCs w:val="24"/>
                <w:lang w:eastAsia="tr-TR"/>
              </w:rPr>
              <w:lastRenderedPageBreak/>
              <w:t>değiştirilmesi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*Birliğin “ilkeleri” yerine “</w:t>
            </w:r>
            <w:proofErr w:type="spellStart"/>
            <w:r w:rsidRPr="00657C51">
              <w:rPr>
                <w:rFonts w:ascii="Times New Roman" w:eastAsia="Times New Roman" w:hAnsi="Times New Roman" w:cs="Times New Roman"/>
                <w:sz w:val="24"/>
                <w:szCs w:val="24"/>
                <w:lang w:eastAsia="tr-TR"/>
              </w:rPr>
              <w:t>değerleri”nin</w:t>
            </w:r>
            <w:proofErr w:type="spellEnd"/>
            <w:r w:rsidRPr="00657C51">
              <w:rPr>
                <w:rFonts w:ascii="Times New Roman" w:eastAsia="Times New Roman" w:hAnsi="Times New Roman" w:cs="Times New Roman"/>
                <w:sz w:val="24"/>
                <w:szCs w:val="24"/>
                <w:lang w:eastAsia="tr-TR"/>
              </w:rPr>
              <w:t xml:space="preserve"> antlaşmalarda düzenlenmesi ve söz konusu değerlerin kapsamının genişletilmesi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*Yasama ve karar alma usullerinin sadeleştirilerek ortak karar usulünün “olağan yasama usulü” adı altında genel yasama usulü haline gelmesi ve Parlamentonun yetkilerinin buna bağlı olarak artışı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*Yasama tasarruflarının karara bağlanmasında Konseyde karar alma yönteminin prensip olarak nitelikli çoğunluk olduğunun düzenlenmesi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*Nitelikli çoğunluğun hesaplanma yönteminin değiştirilmesi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*Yasama tasarrufları-yasama dışı tasarruflar ayrımının getirilmesi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Zirvesinin “AB kurumu” olarak sayılması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Zirvesinin yasama tasarrufu yapamayacağının açıkça antlaşmalara geçirilmesi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 Zirvesine bir başkan atanması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*Komisyonun üye devlet sayısından az bir sayı ile oluşturulması ihtimalinin antlaşmalara geçirilmesi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*Komisyon Başkan Yardımcısı statüsünde bir Ortak Dış ve Güvenlik Politikası Yüksek Temsilcisi makamının tesisi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*Ulusal parlamentoların Avrupa bütünleşmesindeki rolünün artırılması ve özellikle katmanlı yetki ilkesine uygunluğun siyasi denetimi bakımından yetkilendirilmeleri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*Dış eylemler servisi kurulması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w:t>
            </w:r>
            <w:proofErr w:type="spellStart"/>
            <w:r w:rsidRPr="00657C51">
              <w:rPr>
                <w:rFonts w:ascii="Times New Roman" w:eastAsia="Times New Roman" w:hAnsi="Times New Roman" w:cs="Times New Roman"/>
                <w:sz w:val="24"/>
                <w:szCs w:val="24"/>
                <w:lang w:eastAsia="tr-TR"/>
              </w:rPr>
              <w:t>ABTHŞ’ye</w:t>
            </w:r>
            <w:proofErr w:type="spellEnd"/>
            <w:r w:rsidRPr="00657C51">
              <w:rPr>
                <w:rFonts w:ascii="Times New Roman" w:eastAsia="Times New Roman" w:hAnsi="Times New Roman" w:cs="Times New Roman"/>
                <w:sz w:val="24"/>
                <w:szCs w:val="24"/>
                <w:lang w:eastAsia="tr-TR"/>
              </w:rPr>
              <w:t xml:space="preserve"> antlaşma maddesinde atıf suretiyle antlaşmalara eşdeğer hukuki etki ve </w:t>
            </w:r>
            <w:r w:rsidRPr="00657C51">
              <w:rPr>
                <w:rFonts w:ascii="Times New Roman" w:eastAsia="Times New Roman" w:hAnsi="Times New Roman" w:cs="Times New Roman"/>
                <w:sz w:val="24"/>
                <w:szCs w:val="24"/>
                <w:lang w:eastAsia="tr-TR"/>
              </w:rPr>
              <w:lastRenderedPageBreak/>
              <w:t>bağlayıcılık kazandırılması</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*AB’nin Avrupa İnsan Hakları Sözleşmesi’ne (AİHS) taraf olmasına yönelik bir hükmün antlaşmalara geçirilmesi </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*En az 1 milyon imzalı dilekçe ile Avrupa vatandaşlarının Komisyondan bir konuda düzenleme önerisi geliştirme talebinde bulunabilmesi: vatandaş girişimi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*Antlaşma değişikliği </w:t>
            </w:r>
            <w:proofErr w:type="spellStart"/>
            <w:r w:rsidRPr="00657C51">
              <w:rPr>
                <w:rFonts w:ascii="Times New Roman" w:eastAsia="Times New Roman" w:hAnsi="Times New Roman" w:cs="Times New Roman"/>
                <w:sz w:val="24"/>
                <w:szCs w:val="24"/>
                <w:lang w:eastAsia="tr-TR"/>
              </w:rPr>
              <w:t>prosederünün</w:t>
            </w:r>
            <w:proofErr w:type="spellEnd"/>
            <w:r w:rsidRPr="00657C51">
              <w:rPr>
                <w:rFonts w:ascii="Times New Roman" w:eastAsia="Times New Roman" w:hAnsi="Times New Roman" w:cs="Times New Roman"/>
                <w:sz w:val="24"/>
                <w:szCs w:val="24"/>
                <w:lang w:eastAsia="tr-TR"/>
              </w:rPr>
              <w:t xml:space="preserve"> yeniden düzenlenmesi ve çeşitlendirilmesi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*AB’den çıkmanın yöntemini düzenleyen bir hükmün ilk defa antlaşmalara geçirilmesi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*İklim değişikliği ile mücadele, enerji gibi alanlarda Birliğin yetkilendirilmesi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 xml:space="preserve">*Birliğin üye devletlerle yetki paylaşımının ve yetkilerinin düzenlendiği bir yetki </w:t>
            </w:r>
            <w:proofErr w:type="spellStart"/>
            <w:r w:rsidRPr="00657C51">
              <w:rPr>
                <w:rFonts w:ascii="Times New Roman" w:eastAsia="Times New Roman" w:hAnsi="Times New Roman" w:cs="Times New Roman"/>
                <w:sz w:val="24"/>
                <w:szCs w:val="24"/>
                <w:lang w:eastAsia="tr-TR"/>
              </w:rPr>
              <w:t>kataloguna</w:t>
            </w:r>
            <w:proofErr w:type="spellEnd"/>
            <w:r w:rsidRPr="00657C51">
              <w:rPr>
                <w:rFonts w:ascii="Times New Roman" w:eastAsia="Times New Roman" w:hAnsi="Times New Roman" w:cs="Times New Roman"/>
                <w:sz w:val="24"/>
                <w:szCs w:val="24"/>
                <w:lang w:eastAsia="tr-TR"/>
              </w:rPr>
              <w:t xml:space="preserve"> antlaşmalarda yer verilmesi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w:t>
            </w:r>
            <w:proofErr w:type="spellStart"/>
            <w:r w:rsidRPr="00657C51">
              <w:rPr>
                <w:rFonts w:ascii="Times New Roman" w:eastAsia="Times New Roman" w:hAnsi="Times New Roman" w:cs="Times New Roman"/>
                <w:sz w:val="24"/>
                <w:szCs w:val="24"/>
                <w:lang w:eastAsia="tr-TR"/>
              </w:rPr>
              <w:t>ABAD’ın</w:t>
            </w:r>
            <w:proofErr w:type="spellEnd"/>
            <w:r w:rsidRPr="00657C51">
              <w:rPr>
                <w:rFonts w:ascii="Times New Roman" w:eastAsia="Times New Roman" w:hAnsi="Times New Roman" w:cs="Times New Roman"/>
                <w:sz w:val="24"/>
                <w:szCs w:val="24"/>
                <w:lang w:eastAsia="tr-TR"/>
              </w:rPr>
              <w:t xml:space="preserve"> yargı yetkisinin özellikle özgürlük, güvenlik ve adalet alanı kapsamındaki hususlar bakımından genişletilmesi</w:t>
            </w:r>
          </w:p>
          <w:p w:rsidR="00657C51" w:rsidRPr="00657C51" w:rsidRDefault="00657C51" w:rsidP="00657C51">
            <w:pPr>
              <w:spacing w:before="100" w:beforeAutospacing="1" w:after="100" w:afterAutospacing="1"/>
              <w:jc w:val="both"/>
              <w:rPr>
                <w:rFonts w:ascii="Times New Roman" w:eastAsia="Times New Roman" w:hAnsi="Times New Roman" w:cs="Times New Roman"/>
                <w:sz w:val="24"/>
                <w:szCs w:val="24"/>
                <w:lang w:eastAsia="tr-TR"/>
              </w:rPr>
            </w:pPr>
            <w:r w:rsidRPr="00657C51">
              <w:rPr>
                <w:rFonts w:ascii="Times New Roman" w:eastAsia="Times New Roman" w:hAnsi="Times New Roman" w:cs="Times New Roman"/>
                <w:sz w:val="24"/>
                <w:szCs w:val="24"/>
                <w:lang w:eastAsia="tr-TR"/>
              </w:rPr>
              <w:t>*Güçlendirilmiş işbirliği ve esneklik uygulamalarının daha da geliştirilmesi</w:t>
            </w:r>
          </w:p>
        </w:tc>
      </w:tr>
    </w:tbl>
    <w:p w:rsidR="007F07F1" w:rsidRPr="00657C51" w:rsidRDefault="007F07F1" w:rsidP="00657C51"/>
    <w:sectPr w:rsidR="007F07F1" w:rsidRPr="00657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3B" w:rsidRDefault="00167E3B" w:rsidP="00C9436B">
      <w:pPr>
        <w:spacing w:after="0" w:line="240" w:lineRule="auto"/>
      </w:pPr>
      <w:r>
        <w:separator/>
      </w:r>
    </w:p>
  </w:endnote>
  <w:endnote w:type="continuationSeparator" w:id="0">
    <w:p w:rsidR="00167E3B" w:rsidRDefault="00167E3B"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3B" w:rsidRDefault="00167E3B" w:rsidP="00C9436B">
      <w:pPr>
        <w:spacing w:after="0" w:line="240" w:lineRule="auto"/>
      </w:pPr>
      <w:r>
        <w:separator/>
      </w:r>
    </w:p>
  </w:footnote>
  <w:footnote w:type="continuationSeparator" w:id="0">
    <w:p w:rsidR="00167E3B" w:rsidRDefault="00167E3B" w:rsidP="00C9436B">
      <w:pPr>
        <w:spacing w:after="0" w:line="240" w:lineRule="auto"/>
      </w:pPr>
      <w:r>
        <w:continuationSeparator/>
      </w:r>
    </w:p>
  </w:footnote>
  <w:footnote w:id="1">
    <w:p w:rsidR="00657C51" w:rsidRDefault="00657C51" w:rsidP="00657C51">
      <w:pPr>
        <w:pStyle w:val="DipnotMetni"/>
        <w:jc w:val="both"/>
      </w:pPr>
      <w:r>
        <w:rPr>
          <w:rStyle w:val="DipnotBavurusu"/>
        </w:rPr>
        <w:footnoteRef/>
      </w:r>
      <w:r w:rsidRPr="005405D1">
        <w:rPr>
          <w:lang w:val="tr-TR"/>
        </w:rPr>
        <w:t xml:space="preserve"> </w:t>
      </w:r>
      <w:proofErr w:type="gramStart"/>
      <w:r w:rsidRPr="005405D1">
        <w:rPr>
          <w:lang w:val="tr-TR"/>
        </w:rPr>
        <w:t xml:space="preserve">Lizbon Antlaşmasına ekli 4 numaralı Bildiri ile bu konuda Konseyin Lizbon Antlaşmasının imzasından itibaren 6 ay içinde nitelikli çoğunluk yönteminin uygulanması ve bloke edici azınlık ile ilgili 1 Kasım 2014-31 Mart 2017 arası geçiş dönemini ve 31 Mart 2017 sonrası uygulamayı içeren bir kararı alması öngörülmüş ve ilgili kararın metni antlaşmaya eklenmiştir. </w:t>
      </w:r>
      <w:proofErr w:type="spellStart"/>
      <w:proofErr w:type="gramEnd"/>
      <w:r>
        <w:rPr>
          <w:i/>
          <w:iCs/>
        </w:rPr>
        <w:t>Bkz</w:t>
      </w:r>
      <w:proofErr w:type="spellEnd"/>
      <w:r>
        <w:rPr>
          <w:i/>
          <w:iCs/>
        </w:rPr>
        <w:t>.</w:t>
      </w:r>
      <w:r>
        <w:t xml:space="preserve"> Declaration on Article 9c(4) of the Treaty on European Union and Article 205(2) of the Treaty on the Functioning of the European Union, Conference of the Representatives of the Governments of the Member States, </w:t>
      </w:r>
      <w:r>
        <w:rPr>
          <w:i/>
          <w:iCs/>
        </w:rPr>
        <w:t>Draft Declarations</w:t>
      </w:r>
      <w:r>
        <w:t xml:space="preserve">, CIG 3/1/07 REV 1, Brussels, 5 October 2007. 2014-2017 </w:t>
      </w:r>
      <w:proofErr w:type="spellStart"/>
      <w:r>
        <w:t>arasında</w:t>
      </w:r>
      <w:proofErr w:type="spellEnd"/>
      <w:r>
        <w:t xml:space="preserve"> </w:t>
      </w:r>
      <w:proofErr w:type="spellStart"/>
      <w:r>
        <w:t>üye</w:t>
      </w:r>
      <w:proofErr w:type="spellEnd"/>
      <w:r>
        <w:t xml:space="preserve"> </w:t>
      </w:r>
      <w:proofErr w:type="spellStart"/>
      <w:r>
        <w:t>devletler</w:t>
      </w:r>
      <w:proofErr w:type="spellEnd"/>
      <w:r>
        <w:t xml:space="preserve"> </w:t>
      </w:r>
      <w:proofErr w:type="spellStart"/>
      <w:r>
        <w:t>ağırlıklı</w:t>
      </w:r>
      <w:proofErr w:type="spellEnd"/>
      <w:r>
        <w:t xml:space="preserve"> </w:t>
      </w:r>
      <w:proofErr w:type="spellStart"/>
      <w:r>
        <w:t>oy</w:t>
      </w:r>
      <w:proofErr w:type="spellEnd"/>
      <w:r>
        <w:t xml:space="preserve"> </w:t>
      </w:r>
      <w:proofErr w:type="spellStart"/>
      <w:r>
        <w:t>oranlarına</w:t>
      </w:r>
      <w:proofErr w:type="spellEnd"/>
      <w:r>
        <w:t xml:space="preserve"> </w:t>
      </w:r>
      <w:proofErr w:type="spellStart"/>
      <w:r>
        <w:t>dayalı</w:t>
      </w:r>
      <w:proofErr w:type="spellEnd"/>
      <w:r>
        <w:t xml:space="preserve"> </w:t>
      </w:r>
      <w:proofErr w:type="spellStart"/>
      <w:r>
        <w:t>eski</w:t>
      </w:r>
      <w:proofErr w:type="spellEnd"/>
      <w:r>
        <w:t xml:space="preserve"> </w:t>
      </w:r>
      <w:proofErr w:type="spellStart"/>
      <w:r>
        <w:t>nitelikli</w:t>
      </w:r>
      <w:proofErr w:type="spellEnd"/>
      <w:r>
        <w:t xml:space="preserve"> </w:t>
      </w:r>
      <w:proofErr w:type="spellStart"/>
      <w:r>
        <w:t>çoğunluk</w:t>
      </w:r>
      <w:proofErr w:type="spellEnd"/>
      <w:r>
        <w:t xml:space="preserve"> </w:t>
      </w:r>
      <w:proofErr w:type="spellStart"/>
      <w:r>
        <w:t>yönteminin</w:t>
      </w:r>
      <w:proofErr w:type="spellEnd"/>
      <w:r>
        <w:t xml:space="preserve"> </w:t>
      </w:r>
      <w:proofErr w:type="spellStart"/>
      <w:r>
        <w:t>uygulanmasını</w:t>
      </w:r>
      <w:proofErr w:type="spellEnd"/>
      <w:r>
        <w:t xml:space="preserve"> </w:t>
      </w:r>
      <w:proofErr w:type="spellStart"/>
      <w:r>
        <w:t>talep</w:t>
      </w:r>
      <w:proofErr w:type="spellEnd"/>
      <w:r>
        <w:t xml:space="preserve"> </w:t>
      </w:r>
      <w:proofErr w:type="spellStart"/>
      <w:r>
        <w:t>edebilecekler</w:t>
      </w:r>
      <w:proofErr w:type="spellEnd"/>
      <w:r>
        <w:t xml:space="preserve">; </w:t>
      </w:r>
      <w:proofErr w:type="spellStart"/>
      <w:r>
        <w:t>karar</w:t>
      </w:r>
      <w:proofErr w:type="spellEnd"/>
      <w:r>
        <w:t xml:space="preserve"> </w:t>
      </w:r>
      <w:proofErr w:type="spellStart"/>
      <w:r>
        <w:t>alınmasını</w:t>
      </w:r>
      <w:proofErr w:type="spellEnd"/>
      <w:r>
        <w:t xml:space="preserve"> </w:t>
      </w:r>
      <w:proofErr w:type="spellStart"/>
      <w:r>
        <w:t>engelleyici</w:t>
      </w:r>
      <w:proofErr w:type="spellEnd"/>
      <w:r>
        <w:t xml:space="preserve"> </w:t>
      </w:r>
      <w:proofErr w:type="spellStart"/>
      <w:r>
        <w:t>azınlığın</w:t>
      </w:r>
      <w:proofErr w:type="spellEnd"/>
      <w:r>
        <w:t xml:space="preserve"> </w:t>
      </w:r>
      <w:proofErr w:type="spellStart"/>
      <w:r>
        <w:t>oluşumuna</w:t>
      </w:r>
      <w:proofErr w:type="spellEnd"/>
      <w:r>
        <w:t xml:space="preserve"> </w:t>
      </w:r>
      <w:proofErr w:type="spellStart"/>
      <w:r>
        <w:t>yönelik</w:t>
      </w:r>
      <w:proofErr w:type="spellEnd"/>
      <w:r>
        <w:t xml:space="preserve"> </w:t>
      </w:r>
      <w:proofErr w:type="spellStart"/>
      <w:r>
        <w:t>kolaylaştırıcı</w:t>
      </w:r>
      <w:proofErr w:type="spellEnd"/>
      <w:r>
        <w:t xml:space="preserve"> </w:t>
      </w:r>
      <w:proofErr w:type="spellStart"/>
      <w:r>
        <w:t>etki</w:t>
      </w:r>
      <w:proofErr w:type="spellEnd"/>
      <w:r>
        <w:t xml:space="preserve"> </w:t>
      </w:r>
      <w:proofErr w:type="spellStart"/>
      <w:r>
        <w:t>doğuran</w:t>
      </w:r>
      <w:proofErr w:type="spellEnd"/>
      <w:r>
        <w:t xml:space="preserve"> </w:t>
      </w:r>
      <w:proofErr w:type="spellStart"/>
      <w:r>
        <w:t>karmaşık</w:t>
      </w:r>
      <w:proofErr w:type="spellEnd"/>
      <w:r>
        <w:t xml:space="preserve"> </w:t>
      </w:r>
      <w:proofErr w:type="spellStart"/>
      <w:r>
        <w:t>bir</w:t>
      </w:r>
      <w:proofErr w:type="spellEnd"/>
      <w:r>
        <w:t xml:space="preserve"> </w:t>
      </w:r>
      <w:proofErr w:type="spellStart"/>
      <w:r>
        <w:t>formülün</w:t>
      </w:r>
      <w:proofErr w:type="spellEnd"/>
      <w:r>
        <w:t xml:space="preserve"> </w:t>
      </w:r>
      <w:proofErr w:type="spellStart"/>
      <w:r>
        <w:t>uygulanmasına</w:t>
      </w:r>
      <w:proofErr w:type="spellEnd"/>
      <w:r>
        <w:t xml:space="preserve"> </w:t>
      </w:r>
      <w:proofErr w:type="spellStart"/>
      <w:r>
        <w:t>yönelik</w:t>
      </w:r>
      <w:proofErr w:type="spellEnd"/>
      <w:r>
        <w:t xml:space="preserve"> </w:t>
      </w:r>
      <w:proofErr w:type="spellStart"/>
      <w:r>
        <w:t>özel</w:t>
      </w:r>
      <w:proofErr w:type="spellEnd"/>
      <w:r>
        <w:t xml:space="preserve"> </w:t>
      </w:r>
      <w:proofErr w:type="spellStart"/>
      <w:r>
        <w:t>hüküm</w:t>
      </w:r>
      <w:proofErr w:type="spellEnd"/>
      <w:r>
        <w:t xml:space="preserve"> de </w:t>
      </w:r>
      <w:proofErr w:type="spellStart"/>
      <w:r>
        <w:t>yine</w:t>
      </w:r>
      <w:proofErr w:type="spellEnd"/>
      <w:r>
        <w:t xml:space="preserve"> 2017 </w:t>
      </w:r>
      <w:proofErr w:type="spellStart"/>
      <w:r>
        <w:t>yılına</w:t>
      </w:r>
      <w:proofErr w:type="spellEnd"/>
      <w:r>
        <w:t xml:space="preserve"> </w:t>
      </w:r>
      <w:proofErr w:type="spellStart"/>
      <w:proofErr w:type="gramStart"/>
      <w:r>
        <w:t>kadar</w:t>
      </w:r>
      <w:proofErr w:type="spellEnd"/>
      <w:proofErr w:type="gramEnd"/>
      <w:r>
        <w:t xml:space="preserve"> </w:t>
      </w:r>
      <w:proofErr w:type="spellStart"/>
      <w:r>
        <w:t>farklı</w:t>
      </w:r>
      <w:proofErr w:type="spellEnd"/>
      <w:r>
        <w:t xml:space="preserve">, </w:t>
      </w:r>
      <w:proofErr w:type="spellStart"/>
      <w:r>
        <w:t>bu</w:t>
      </w:r>
      <w:proofErr w:type="spellEnd"/>
      <w:r>
        <w:t xml:space="preserve"> </w:t>
      </w:r>
      <w:proofErr w:type="spellStart"/>
      <w:r>
        <w:t>dönemden</w:t>
      </w:r>
      <w:proofErr w:type="spellEnd"/>
      <w:r>
        <w:t xml:space="preserve"> </w:t>
      </w:r>
      <w:proofErr w:type="spellStart"/>
      <w:r>
        <w:t>sonra</w:t>
      </w:r>
      <w:proofErr w:type="spellEnd"/>
      <w:r>
        <w:t xml:space="preserve"> </w:t>
      </w:r>
      <w:proofErr w:type="spellStart"/>
      <w:r>
        <w:t>farklı</w:t>
      </w:r>
      <w:proofErr w:type="spellEnd"/>
      <w:r>
        <w:t xml:space="preserve"> </w:t>
      </w:r>
      <w:proofErr w:type="spellStart"/>
      <w:r>
        <w:t>bir</w:t>
      </w:r>
      <w:proofErr w:type="spellEnd"/>
      <w:r>
        <w:t xml:space="preserve"> </w:t>
      </w:r>
      <w:proofErr w:type="spellStart"/>
      <w:r>
        <w:t>hesaplamaya</w:t>
      </w:r>
      <w:proofErr w:type="spellEnd"/>
      <w:r>
        <w:t xml:space="preserve"> </w:t>
      </w:r>
      <w:proofErr w:type="spellStart"/>
      <w:r>
        <w:t>bağlı</w:t>
      </w:r>
      <w:proofErr w:type="spellEnd"/>
      <w:r>
        <w:t xml:space="preserve"> </w:t>
      </w:r>
      <w:proofErr w:type="spellStart"/>
      <w:r>
        <w:t>olarak</w:t>
      </w:r>
      <w:proofErr w:type="spellEnd"/>
      <w:r>
        <w:t xml:space="preserve"> </w:t>
      </w:r>
      <w:proofErr w:type="spellStart"/>
      <w:r>
        <w:t>geçerli</w:t>
      </w:r>
      <w:proofErr w:type="spellEnd"/>
      <w:r>
        <w:t xml:space="preserve"> </w:t>
      </w:r>
      <w:proofErr w:type="spellStart"/>
      <w:r>
        <w:t>olacaktır</w:t>
      </w:r>
      <w:proofErr w:type="spellEnd"/>
      <w:r>
        <w:t xml:space="preserve">. </w:t>
      </w:r>
      <w:proofErr w:type="spellStart"/>
      <w:proofErr w:type="gramStart"/>
      <w:r>
        <w:t>Böylece</w:t>
      </w:r>
      <w:proofErr w:type="spellEnd"/>
      <w:r>
        <w:t xml:space="preserve"> </w:t>
      </w:r>
      <w:proofErr w:type="spellStart"/>
      <w:r>
        <w:t>bir</w:t>
      </w:r>
      <w:proofErr w:type="spellEnd"/>
      <w:r>
        <w:t xml:space="preserve"> </w:t>
      </w:r>
      <w:proofErr w:type="spellStart"/>
      <w:r>
        <w:t>bakıma</w:t>
      </w:r>
      <w:proofErr w:type="spellEnd"/>
      <w:r>
        <w:t xml:space="preserve"> 1994 </w:t>
      </w:r>
      <w:proofErr w:type="spellStart"/>
      <w:r>
        <w:t>tarihli</w:t>
      </w:r>
      <w:proofErr w:type="spellEnd"/>
      <w:r>
        <w:t xml:space="preserve"> </w:t>
      </w:r>
      <w:proofErr w:type="spellStart"/>
      <w:r>
        <w:rPr>
          <w:i/>
          <w:iCs/>
        </w:rPr>
        <w:t>Ioannina</w:t>
      </w:r>
      <w:proofErr w:type="spellEnd"/>
      <w:r>
        <w:rPr>
          <w:i/>
          <w:iCs/>
        </w:rPr>
        <w:t xml:space="preserve"> </w:t>
      </w:r>
      <w:proofErr w:type="spellStart"/>
      <w:r>
        <w:t>uzlaşısı</w:t>
      </w:r>
      <w:proofErr w:type="spellEnd"/>
      <w:r>
        <w:t xml:space="preserve"> </w:t>
      </w:r>
      <w:proofErr w:type="spellStart"/>
      <w:r>
        <w:t>varlığını</w:t>
      </w:r>
      <w:proofErr w:type="spellEnd"/>
      <w:r>
        <w:t xml:space="preserve"> </w:t>
      </w:r>
      <w:proofErr w:type="spellStart"/>
      <w:r>
        <w:t>sürdürecektir</w:t>
      </w:r>
      <w:proofErr w:type="spellEnd"/>
      <w:r>
        <w:t>.</w:t>
      </w:r>
      <w:proofErr w:type="gramEnd"/>
      <w:r>
        <w:t xml:space="preserve"> </w:t>
      </w:r>
    </w:p>
  </w:footnote>
  <w:footnote w:id="2">
    <w:p w:rsidR="00657C51" w:rsidRDefault="00657C51" w:rsidP="00657C51">
      <w:pPr>
        <w:pStyle w:val="DipnotMetni"/>
        <w:jc w:val="both"/>
      </w:pPr>
      <w:r>
        <w:rPr>
          <w:rStyle w:val="DipnotBavurusu"/>
        </w:rPr>
        <w:footnoteRef/>
      </w:r>
      <w:r>
        <w:t xml:space="preserve"> Bu </w:t>
      </w:r>
      <w:proofErr w:type="spellStart"/>
      <w:proofErr w:type="gramStart"/>
      <w:r>
        <w:t>alan</w:t>
      </w:r>
      <w:proofErr w:type="spellEnd"/>
      <w:proofErr w:type="gramEnd"/>
      <w:r>
        <w:t xml:space="preserve"> </w:t>
      </w:r>
      <w:proofErr w:type="spellStart"/>
      <w:r>
        <w:t>Anayasal</w:t>
      </w:r>
      <w:proofErr w:type="spellEnd"/>
      <w:r>
        <w:t xml:space="preserve"> </w:t>
      </w:r>
      <w:proofErr w:type="spellStart"/>
      <w:r>
        <w:t>Antlaşmada</w:t>
      </w:r>
      <w:proofErr w:type="spellEnd"/>
      <w:r>
        <w:t xml:space="preserve"> da </w:t>
      </w:r>
      <w:proofErr w:type="spellStart"/>
      <w:r>
        <w:t>öngörüldüğü</w:t>
      </w:r>
      <w:proofErr w:type="spellEnd"/>
      <w:r>
        <w:t xml:space="preserve"> </w:t>
      </w:r>
      <w:proofErr w:type="spellStart"/>
      <w:r>
        <w:t>üzere</w:t>
      </w:r>
      <w:proofErr w:type="spellEnd"/>
      <w:r>
        <w:t xml:space="preserve"> </w:t>
      </w:r>
      <w:proofErr w:type="spellStart"/>
      <w:r>
        <w:t>genel</w:t>
      </w:r>
      <w:proofErr w:type="spellEnd"/>
      <w:r>
        <w:t xml:space="preserve"> </w:t>
      </w:r>
      <w:proofErr w:type="spellStart"/>
      <w:r>
        <w:t>olarak</w:t>
      </w:r>
      <w:proofErr w:type="spellEnd"/>
      <w:r>
        <w:t xml:space="preserve"> </w:t>
      </w:r>
      <w:proofErr w:type="spellStart"/>
      <w:r>
        <w:t>ortak</w:t>
      </w:r>
      <w:proofErr w:type="spellEnd"/>
      <w:r>
        <w:t xml:space="preserve"> </w:t>
      </w:r>
      <w:proofErr w:type="spellStart"/>
      <w:r>
        <w:t>karar</w:t>
      </w:r>
      <w:proofErr w:type="spellEnd"/>
      <w:r>
        <w:t xml:space="preserve"> </w:t>
      </w:r>
      <w:proofErr w:type="spellStart"/>
      <w:r>
        <w:t>usulü</w:t>
      </w:r>
      <w:proofErr w:type="spellEnd"/>
      <w:r>
        <w:t xml:space="preserve"> </w:t>
      </w:r>
      <w:proofErr w:type="spellStart"/>
      <w:r>
        <w:t>ve</w:t>
      </w:r>
      <w:proofErr w:type="spellEnd"/>
      <w:r>
        <w:t xml:space="preserve"> </w:t>
      </w:r>
      <w:proofErr w:type="spellStart"/>
      <w:r>
        <w:t>nitelikli</w:t>
      </w:r>
      <w:proofErr w:type="spellEnd"/>
      <w:r>
        <w:t xml:space="preserve"> </w:t>
      </w:r>
      <w:proofErr w:type="spellStart"/>
      <w:r>
        <w:t>çoğunluk</w:t>
      </w:r>
      <w:proofErr w:type="spellEnd"/>
      <w:r>
        <w:t xml:space="preserve"> </w:t>
      </w:r>
      <w:proofErr w:type="spellStart"/>
      <w:r>
        <w:t>yöntemlerinin</w:t>
      </w:r>
      <w:proofErr w:type="spellEnd"/>
      <w:r>
        <w:t xml:space="preserve"> </w:t>
      </w:r>
      <w:proofErr w:type="spellStart"/>
      <w:r>
        <w:t>uygulandığı</w:t>
      </w:r>
      <w:proofErr w:type="spellEnd"/>
      <w:r>
        <w:t xml:space="preserve"> </w:t>
      </w:r>
      <w:proofErr w:type="spellStart"/>
      <w:r>
        <w:t>alanlar</w:t>
      </w:r>
      <w:proofErr w:type="spellEnd"/>
      <w:r>
        <w:t xml:space="preserve"> </w:t>
      </w:r>
      <w:proofErr w:type="spellStart"/>
      <w:r>
        <w:t>kapsamına</w:t>
      </w:r>
      <w:proofErr w:type="spellEnd"/>
      <w:r>
        <w:t xml:space="preserve"> </w:t>
      </w:r>
      <w:proofErr w:type="spellStart"/>
      <w:r>
        <w:t>alınacaktır</w:t>
      </w:r>
      <w:proofErr w:type="spellEnd"/>
      <w:r>
        <w:t>.</w:t>
      </w:r>
    </w:p>
  </w:footnote>
  <w:footnote w:id="3">
    <w:p w:rsidR="00657C51" w:rsidRDefault="00657C51" w:rsidP="00657C51">
      <w:pPr>
        <w:pStyle w:val="DipnotMetni"/>
        <w:jc w:val="both"/>
      </w:pPr>
      <w:r>
        <w:rPr>
          <w:rStyle w:val="DipnotBavurusu"/>
        </w:rPr>
        <w:footnoteRef/>
      </w:r>
      <w:r>
        <w:t xml:space="preserve"> Bu </w:t>
      </w:r>
      <w:proofErr w:type="spellStart"/>
      <w:r>
        <w:t>alanda</w:t>
      </w:r>
      <w:proofErr w:type="spellEnd"/>
      <w:r>
        <w:t xml:space="preserve"> </w:t>
      </w:r>
      <w:proofErr w:type="spellStart"/>
      <w:r>
        <w:t>arzu</w:t>
      </w:r>
      <w:proofErr w:type="spellEnd"/>
      <w:r>
        <w:t xml:space="preserve"> </w:t>
      </w:r>
      <w:proofErr w:type="spellStart"/>
      <w:proofErr w:type="gramStart"/>
      <w:r>
        <w:t>eden</w:t>
      </w:r>
      <w:proofErr w:type="spellEnd"/>
      <w:proofErr w:type="gramEnd"/>
      <w:r>
        <w:t xml:space="preserve"> </w:t>
      </w:r>
      <w:proofErr w:type="spellStart"/>
      <w:r>
        <w:t>üye</w:t>
      </w:r>
      <w:proofErr w:type="spellEnd"/>
      <w:r>
        <w:t xml:space="preserve"> </w:t>
      </w:r>
      <w:proofErr w:type="spellStart"/>
      <w:r>
        <w:t>devletlerin</w:t>
      </w:r>
      <w:proofErr w:type="spellEnd"/>
      <w:r>
        <w:t xml:space="preserve"> </w:t>
      </w:r>
      <w:proofErr w:type="spellStart"/>
      <w:r>
        <w:t>daha</w:t>
      </w:r>
      <w:proofErr w:type="spellEnd"/>
      <w:r>
        <w:t xml:space="preserve"> </w:t>
      </w:r>
      <w:proofErr w:type="spellStart"/>
      <w:r>
        <w:t>fazla</w:t>
      </w:r>
      <w:proofErr w:type="spellEnd"/>
      <w:r>
        <w:t xml:space="preserve"> </w:t>
      </w:r>
      <w:proofErr w:type="spellStart"/>
      <w:r>
        <w:t>bütünleşmeye</w:t>
      </w:r>
      <w:proofErr w:type="spellEnd"/>
      <w:r>
        <w:t xml:space="preserve"> </w:t>
      </w:r>
      <w:proofErr w:type="spellStart"/>
      <w:r>
        <w:t>gitmelerine</w:t>
      </w:r>
      <w:proofErr w:type="spellEnd"/>
      <w:r>
        <w:t xml:space="preserve"> </w:t>
      </w:r>
      <w:proofErr w:type="spellStart"/>
      <w:r>
        <w:t>imkân</w:t>
      </w:r>
      <w:proofErr w:type="spellEnd"/>
      <w:r>
        <w:t xml:space="preserve"> </w:t>
      </w:r>
      <w:proofErr w:type="spellStart"/>
      <w:r>
        <w:t>tanıyacak</w:t>
      </w:r>
      <w:proofErr w:type="spellEnd"/>
      <w:r>
        <w:t xml:space="preserve"> </w:t>
      </w:r>
      <w:proofErr w:type="spellStart"/>
      <w:r>
        <w:t>bir</w:t>
      </w:r>
      <w:proofErr w:type="spellEnd"/>
      <w:r>
        <w:t xml:space="preserve"> </w:t>
      </w:r>
      <w:proofErr w:type="spellStart"/>
      <w:r>
        <w:t>mekanizmanın</w:t>
      </w:r>
      <w:proofErr w:type="spellEnd"/>
      <w:r>
        <w:t xml:space="preserve"> </w:t>
      </w:r>
      <w:proofErr w:type="spellStart"/>
      <w:r>
        <w:t>oluşturulması</w:t>
      </w:r>
      <w:proofErr w:type="spellEnd"/>
      <w:r>
        <w:t xml:space="preserve"> da </w:t>
      </w:r>
      <w:proofErr w:type="spellStart"/>
      <w:r>
        <w:t>öngörülmektedir</w:t>
      </w:r>
      <w:proofErr w:type="spellEnd"/>
      <w:r>
        <w:t xml:space="preserve">. </w:t>
      </w:r>
    </w:p>
  </w:footnote>
  <w:footnote w:id="4">
    <w:p w:rsidR="00657C51" w:rsidRDefault="00657C51" w:rsidP="00657C51">
      <w:pPr>
        <w:pStyle w:val="DipnotMetni"/>
        <w:jc w:val="both"/>
      </w:pPr>
      <w:r>
        <w:rPr>
          <w:rStyle w:val="DipnotBavurusu"/>
        </w:rPr>
        <w:footnoteRef/>
      </w:r>
      <w:r>
        <w:t xml:space="preserve"> </w:t>
      </w:r>
      <w:proofErr w:type="spellStart"/>
      <w:proofErr w:type="gramStart"/>
      <w:r>
        <w:t>Anayasal</w:t>
      </w:r>
      <w:proofErr w:type="spellEnd"/>
      <w:r>
        <w:t xml:space="preserve"> </w:t>
      </w:r>
      <w:proofErr w:type="spellStart"/>
      <w:r>
        <w:t>Antlaşmada</w:t>
      </w:r>
      <w:proofErr w:type="spellEnd"/>
      <w:r>
        <w:t xml:space="preserve"> </w:t>
      </w:r>
      <w:proofErr w:type="spellStart"/>
      <w:r>
        <w:t>AB’nin</w:t>
      </w:r>
      <w:proofErr w:type="spellEnd"/>
      <w:r>
        <w:t xml:space="preserve"> </w:t>
      </w:r>
      <w:proofErr w:type="spellStart"/>
      <w:r>
        <w:t>sütun</w:t>
      </w:r>
      <w:proofErr w:type="spellEnd"/>
      <w:r>
        <w:t xml:space="preserve"> </w:t>
      </w:r>
      <w:proofErr w:type="spellStart"/>
      <w:r>
        <w:t>yapısının</w:t>
      </w:r>
      <w:proofErr w:type="spellEnd"/>
      <w:r>
        <w:t xml:space="preserve"> </w:t>
      </w:r>
      <w:proofErr w:type="spellStart"/>
      <w:r>
        <w:t>ortadan</w:t>
      </w:r>
      <w:proofErr w:type="spellEnd"/>
      <w:r>
        <w:t xml:space="preserve"> </w:t>
      </w:r>
      <w:proofErr w:type="spellStart"/>
      <w:r>
        <w:t>kaldırılması</w:t>
      </w:r>
      <w:proofErr w:type="spellEnd"/>
      <w:r>
        <w:t xml:space="preserve"> </w:t>
      </w:r>
      <w:proofErr w:type="spellStart"/>
      <w:r>
        <w:t>ve</w:t>
      </w:r>
      <w:proofErr w:type="spellEnd"/>
      <w:r>
        <w:t xml:space="preserve"> </w:t>
      </w:r>
      <w:proofErr w:type="spellStart"/>
      <w:r>
        <w:t>bu</w:t>
      </w:r>
      <w:proofErr w:type="spellEnd"/>
      <w:r>
        <w:t xml:space="preserve"> </w:t>
      </w:r>
      <w:proofErr w:type="spellStart"/>
      <w:r>
        <w:t>çerçevede</w:t>
      </w:r>
      <w:proofErr w:type="spellEnd"/>
      <w:r>
        <w:t xml:space="preserve"> “</w:t>
      </w:r>
      <w:proofErr w:type="spellStart"/>
      <w:r>
        <w:t>Topluluklar</w:t>
      </w:r>
      <w:proofErr w:type="spellEnd"/>
      <w:r>
        <w:t xml:space="preserve">” </w:t>
      </w:r>
      <w:proofErr w:type="spellStart"/>
      <w:r>
        <w:t>teriminin</w:t>
      </w:r>
      <w:proofErr w:type="spellEnd"/>
      <w:r>
        <w:t xml:space="preserve"> </w:t>
      </w:r>
      <w:proofErr w:type="spellStart"/>
      <w:r>
        <w:t>tarihe</w:t>
      </w:r>
      <w:proofErr w:type="spellEnd"/>
      <w:r>
        <w:t xml:space="preserve"> </w:t>
      </w:r>
      <w:proofErr w:type="spellStart"/>
      <w:r>
        <w:t>karışması</w:t>
      </w:r>
      <w:proofErr w:type="spellEnd"/>
      <w:r>
        <w:t xml:space="preserve"> </w:t>
      </w:r>
      <w:proofErr w:type="spellStart"/>
      <w:r>
        <w:t>öngörülmüştür</w:t>
      </w:r>
      <w:proofErr w:type="spellEnd"/>
      <w:r>
        <w:t>.</w:t>
      </w:r>
      <w:proofErr w:type="gramEnd"/>
      <w:r>
        <w:t xml:space="preserve"> </w:t>
      </w:r>
      <w:proofErr w:type="spellStart"/>
      <w:proofErr w:type="gramStart"/>
      <w:r>
        <w:t>Lizbon</w:t>
      </w:r>
      <w:proofErr w:type="spellEnd"/>
      <w:r>
        <w:t xml:space="preserve"> </w:t>
      </w:r>
      <w:proofErr w:type="spellStart"/>
      <w:r>
        <w:t>Antlaşması</w:t>
      </w:r>
      <w:proofErr w:type="spellEnd"/>
      <w:r>
        <w:t xml:space="preserve"> da </w:t>
      </w:r>
      <w:proofErr w:type="spellStart"/>
      <w:r>
        <w:t>farklı</w:t>
      </w:r>
      <w:proofErr w:type="spellEnd"/>
      <w:r>
        <w:t xml:space="preserve"> </w:t>
      </w:r>
      <w:proofErr w:type="spellStart"/>
      <w:r>
        <w:t>bir</w:t>
      </w:r>
      <w:proofErr w:type="spellEnd"/>
      <w:r>
        <w:t xml:space="preserve"> </w:t>
      </w:r>
      <w:proofErr w:type="spellStart"/>
      <w:r>
        <w:t>yöntemle</w:t>
      </w:r>
      <w:proofErr w:type="spellEnd"/>
      <w:r>
        <w:t xml:space="preserve"> </w:t>
      </w:r>
      <w:proofErr w:type="spellStart"/>
      <w:r>
        <w:t>benzer</w:t>
      </w:r>
      <w:proofErr w:type="spellEnd"/>
      <w:r>
        <w:t xml:space="preserve"> </w:t>
      </w:r>
      <w:proofErr w:type="spellStart"/>
      <w:r>
        <w:t>bir</w:t>
      </w:r>
      <w:proofErr w:type="spellEnd"/>
      <w:r>
        <w:t xml:space="preserve"> </w:t>
      </w:r>
      <w:proofErr w:type="spellStart"/>
      <w:r>
        <w:t>sonuca</w:t>
      </w:r>
      <w:proofErr w:type="spellEnd"/>
      <w:r>
        <w:t xml:space="preserve"> </w:t>
      </w:r>
      <w:proofErr w:type="spellStart"/>
      <w:r>
        <w:t>ulaşacak</w:t>
      </w:r>
      <w:proofErr w:type="spellEnd"/>
      <w:r>
        <w:t xml:space="preserve"> </w:t>
      </w:r>
      <w:proofErr w:type="spellStart"/>
      <w:r>
        <w:t>gibi</w:t>
      </w:r>
      <w:proofErr w:type="spellEnd"/>
      <w:r>
        <w:t xml:space="preserve"> </w:t>
      </w:r>
      <w:proofErr w:type="spellStart"/>
      <w:r>
        <w:t>görünmektedir</w:t>
      </w:r>
      <w:proofErr w:type="spellEnd"/>
      <w:r>
        <w:t>.</w:t>
      </w:r>
      <w:proofErr w:type="gramEnd"/>
      <w:r>
        <w:t xml:space="preserve"> </w:t>
      </w:r>
      <w:proofErr w:type="spellStart"/>
      <w:proofErr w:type="gramStart"/>
      <w:r>
        <w:t>Bundan</w:t>
      </w:r>
      <w:proofErr w:type="spellEnd"/>
      <w:r>
        <w:t xml:space="preserve"> </w:t>
      </w:r>
      <w:proofErr w:type="spellStart"/>
      <w:r>
        <w:t>sonra</w:t>
      </w:r>
      <w:proofErr w:type="spellEnd"/>
      <w:r>
        <w:t xml:space="preserve"> </w:t>
      </w:r>
      <w:proofErr w:type="spellStart"/>
      <w:r>
        <w:t>Avrupa</w:t>
      </w:r>
      <w:proofErr w:type="spellEnd"/>
      <w:r>
        <w:t xml:space="preserve"> </w:t>
      </w:r>
      <w:proofErr w:type="spellStart"/>
      <w:r>
        <w:t>Birliğinin</w:t>
      </w:r>
      <w:proofErr w:type="spellEnd"/>
      <w:r>
        <w:t xml:space="preserve"> </w:t>
      </w:r>
      <w:proofErr w:type="spellStart"/>
      <w:r>
        <w:t>esas</w:t>
      </w:r>
      <w:proofErr w:type="spellEnd"/>
      <w:r>
        <w:t xml:space="preserve"> </w:t>
      </w:r>
      <w:proofErr w:type="spellStart"/>
      <w:r>
        <w:t>yargı</w:t>
      </w:r>
      <w:proofErr w:type="spellEnd"/>
      <w:r>
        <w:t xml:space="preserve"> </w:t>
      </w:r>
      <w:proofErr w:type="spellStart"/>
      <w:r>
        <w:t>organı</w:t>
      </w:r>
      <w:proofErr w:type="spellEnd"/>
      <w:r>
        <w:t xml:space="preserve"> </w:t>
      </w:r>
      <w:proofErr w:type="spellStart"/>
      <w:r>
        <w:t>dilimizde</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Adalet</w:t>
      </w:r>
      <w:proofErr w:type="spellEnd"/>
      <w:r>
        <w:t xml:space="preserve"> </w:t>
      </w:r>
      <w:proofErr w:type="spellStart"/>
      <w:r>
        <w:t>Divanı</w:t>
      </w:r>
      <w:proofErr w:type="spellEnd"/>
      <w:r>
        <w:t xml:space="preserve">” </w:t>
      </w:r>
      <w:proofErr w:type="spellStart"/>
      <w:r>
        <w:t>olarak</w:t>
      </w:r>
      <w:proofErr w:type="spellEnd"/>
      <w:r>
        <w:t xml:space="preserve"> </w:t>
      </w:r>
      <w:proofErr w:type="spellStart"/>
      <w:r>
        <w:t>anılmaya</w:t>
      </w:r>
      <w:proofErr w:type="spellEnd"/>
      <w:r>
        <w:t xml:space="preserve"> </w:t>
      </w:r>
      <w:proofErr w:type="spellStart"/>
      <w:r>
        <w:t>başlanacaktır</w:t>
      </w:r>
      <w:proofErr w:type="spellEnd"/>
      <w:r>
        <w:t>.</w:t>
      </w:r>
      <w:proofErr w:type="gramEnd"/>
    </w:p>
  </w:footnote>
  <w:footnote w:id="5">
    <w:p w:rsidR="00657C51" w:rsidRDefault="00657C51" w:rsidP="00657C51">
      <w:pPr>
        <w:pStyle w:val="DipnotMetni"/>
        <w:jc w:val="both"/>
      </w:pPr>
      <w:r>
        <w:rPr>
          <w:rStyle w:val="DipnotBavurusu"/>
        </w:rPr>
        <w:footnoteRef/>
      </w:r>
      <w:r>
        <w:t xml:space="preserve"> </w:t>
      </w:r>
      <w:proofErr w:type="spellStart"/>
      <w:r>
        <w:t>Lizbon</w:t>
      </w:r>
      <w:proofErr w:type="spellEnd"/>
      <w:r>
        <w:t xml:space="preserve"> </w:t>
      </w:r>
      <w:proofErr w:type="spellStart"/>
      <w:r>
        <w:t>Antlaşması</w:t>
      </w:r>
      <w:proofErr w:type="spellEnd"/>
      <w:r>
        <w:t xml:space="preserve"> </w:t>
      </w:r>
      <w:proofErr w:type="spellStart"/>
      <w:r>
        <w:t>ile</w:t>
      </w:r>
      <w:proofErr w:type="spellEnd"/>
      <w:r>
        <w:t xml:space="preserve"> </w:t>
      </w:r>
      <w:proofErr w:type="spellStart"/>
      <w:r>
        <w:t>getirilen</w:t>
      </w:r>
      <w:proofErr w:type="spellEnd"/>
      <w:r>
        <w:t xml:space="preserve"> AB </w:t>
      </w:r>
      <w:proofErr w:type="spellStart"/>
      <w:r>
        <w:t>Antlaşması</w:t>
      </w:r>
      <w:proofErr w:type="spellEnd"/>
      <w:r>
        <w:t xml:space="preserve"> </w:t>
      </w:r>
      <w:proofErr w:type="spellStart"/>
      <w:r>
        <w:t>madde</w:t>
      </w:r>
      <w:proofErr w:type="spellEnd"/>
      <w:r>
        <w:t xml:space="preserve"> 5, </w:t>
      </w:r>
      <w:proofErr w:type="spellStart"/>
      <w:r>
        <w:t>paragraf</w:t>
      </w:r>
      <w:proofErr w:type="spellEnd"/>
      <w:r>
        <w:t xml:space="preserve"> 2 </w:t>
      </w:r>
      <w:proofErr w:type="spellStart"/>
      <w:r>
        <w:t>açıkça</w:t>
      </w:r>
      <w:proofErr w:type="spellEnd"/>
      <w:r>
        <w:t xml:space="preserve"> </w:t>
      </w:r>
      <w:proofErr w:type="spellStart"/>
      <w:r>
        <w:t>Topluluğa</w:t>
      </w:r>
      <w:proofErr w:type="spellEnd"/>
      <w:r>
        <w:t xml:space="preserve"> transfer </w:t>
      </w:r>
      <w:proofErr w:type="spellStart"/>
      <w:r>
        <w:t>edilmeyen</w:t>
      </w:r>
      <w:proofErr w:type="spellEnd"/>
      <w:r>
        <w:t xml:space="preserve"> </w:t>
      </w:r>
      <w:proofErr w:type="spellStart"/>
      <w:r>
        <w:t>alanlarda</w:t>
      </w:r>
      <w:proofErr w:type="spellEnd"/>
      <w:r>
        <w:t xml:space="preserve"> </w:t>
      </w:r>
      <w:proofErr w:type="spellStart"/>
      <w:r>
        <w:t>yetkinin</w:t>
      </w:r>
      <w:proofErr w:type="spellEnd"/>
      <w:r>
        <w:t xml:space="preserve"> </w:t>
      </w:r>
      <w:proofErr w:type="spellStart"/>
      <w:r>
        <w:t>üye</w:t>
      </w:r>
      <w:proofErr w:type="spellEnd"/>
      <w:r>
        <w:t xml:space="preserve"> </w:t>
      </w:r>
      <w:proofErr w:type="spellStart"/>
      <w:r>
        <w:t>devletlerde</w:t>
      </w:r>
      <w:proofErr w:type="spellEnd"/>
      <w:r>
        <w:t xml:space="preserve"> </w:t>
      </w:r>
      <w:proofErr w:type="spellStart"/>
      <w:r>
        <w:t>olduğunu</w:t>
      </w:r>
      <w:proofErr w:type="spellEnd"/>
      <w:r>
        <w:t xml:space="preserve"> </w:t>
      </w:r>
      <w:proofErr w:type="spellStart"/>
      <w:r>
        <w:t>vurgulamaktadır</w:t>
      </w:r>
      <w:proofErr w:type="spellEnd"/>
      <w:r>
        <w:t>.</w:t>
      </w:r>
    </w:p>
  </w:footnote>
  <w:footnote w:id="6">
    <w:p w:rsidR="00657C51" w:rsidRDefault="00657C51" w:rsidP="00657C51">
      <w:pPr>
        <w:pStyle w:val="DipnotMetni"/>
        <w:jc w:val="both"/>
      </w:pPr>
      <w:r>
        <w:rPr>
          <w:rStyle w:val="DipnotBavurusu"/>
        </w:rPr>
        <w:footnoteRef/>
      </w:r>
      <w:r>
        <w:t xml:space="preserve"> </w:t>
      </w:r>
      <w:proofErr w:type="gramStart"/>
      <w:r>
        <w:t xml:space="preserve">AT </w:t>
      </w:r>
      <w:proofErr w:type="spellStart"/>
      <w:r>
        <w:t>Antlaşması</w:t>
      </w:r>
      <w:proofErr w:type="spellEnd"/>
      <w:r>
        <w:t xml:space="preserve"> </w:t>
      </w:r>
      <w:proofErr w:type="spellStart"/>
      <w:r>
        <w:t>madde</w:t>
      </w:r>
      <w:proofErr w:type="spellEnd"/>
      <w:r>
        <w:t xml:space="preserve"> 308.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numFmt w:val="bullet"/>
      <w:lvlText w:val="-"/>
      <w:lvlJc w:val="left"/>
      <w:pPr>
        <w:tabs>
          <w:tab w:val="num" w:pos="720"/>
        </w:tabs>
        <w:ind w:left="720" w:hanging="360"/>
      </w:pPr>
      <w:rPr>
        <w:rFonts w:ascii="Times New Roman" w:hAnsi="Times New Roman" w:cs="Times New Roman"/>
      </w:rPr>
    </w:lvl>
    <w:lvl w:ilvl="1">
      <w:start w:val="2007"/>
      <w:numFmt w:val="bullet"/>
      <w:lvlText w:val=""/>
      <w:lvlJc w:val="left"/>
      <w:pPr>
        <w:tabs>
          <w:tab w:val="num" w:pos="1965"/>
        </w:tabs>
        <w:ind w:left="1965" w:hanging="885"/>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3">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9F5959"/>
    <w:multiLevelType w:val="hybridMultilevel"/>
    <w:tmpl w:val="7166D50A"/>
    <w:lvl w:ilvl="0" w:tplc="58C4B3E8">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434ECF"/>
    <w:multiLevelType w:val="hybridMultilevel"/>
    <w:tmpl w:val="A08ED340"/>
    <w:lvl w:ilvl="0" w:tplc="FAFC3C32">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317337"/>
    <w:multiLevelType w:val="hybridMultilevel"/>
    <w:tmpl w:val="359C2376"/>
    <w:lvl w:ilvl="0" w:tplc="4454CF5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6"/>
  </w:num>
  <w:num w:numId="4">
    <w:abstractNumId w:val="7"/>
  </w:num>
  <w:num w:numId="5">
    <w:abstractNumId w:val="3"/>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167E3B"/>
    <w:rsid w:val="001E142C"/>
    <w:rsid w:val="00215E30"/>
    <w:rsid w:val="002C4FCD"/>
    <w:rsid w:val="00657C51"/>
    <w:rsid w:val="006C03C8"/>
    <w:rsid w:val="006C4D8C"/>
    <w:rsid w:val="007F07F1"/>
    <w:rsid w:val="00877FA3"/>
    <w:rsid w:val="00944E44"/>
    <w:rsid w:val="00C9436B"/>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5578</Words>
  <Characters>31795</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2017-11-08T08:11:00Z</dcterms:created>
  <dcterms:modified xsi:type="dcterms:W3CDTF">2017-11-08T08:21:00Z</dcterms:modified>
</cp:coreProperties>
</file>