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ADU210 Cezaevi Yönetimi ve İnfaz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Ar. Gör. Yaprak Öntan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85F84" w:rsidRDefault="00C85F84" w:rsidP="00C85F84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İnfaz hukukunun amacı, infaz kurumları, </w:t>
            </w:r>
            <w:r w:rsidR="00402BB9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cezalar, </w:t>
            </w:r>
            <w:bookmarkStart w:id="0" w:name="_GoBack"/>
            <w:bookmarkEnd w:id="0"/>
            <w:r w:rsidR="006055A2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erteleme, tekerrür, koşullu salıverme,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hükümlülerin hak ve yükümlülükleri</w:t>
            </w:r>
            <w:r w:rsidR="006055A2">
              <w:rPr>
                <w:rFonts w:ascii="Arial TUR" w:hAnsi="Arial TUR" w:cs="Arial TUR"/>
                <w:color w:val="666666"/>
                <w:sz w:val="18"/>
                <w:szCs w:val="18"/>
              </w:rPr>
              <w:t>, disiplin cezaları, denetimli serbestlik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85F84" w:rsidRDefault="00C85F84" w:rsidP="00C85F84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Cezaların infazını anlatmak, infaz hukukunun amacını, hükümlülerin hak ve yükümlülüklerini ve infaz kurumlarının yapısı ve işleyişinin anlanmasını sağlamaktır.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B262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5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F17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Demirbaş, Timur: İnfaz Hukuku</w:t>
            </w:r>
          </w:p>
          <w:p w:rsidR="007F173B" w:rsidRPr="001A2552" w:rsidRDefault="007F17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Özbek, Veli Özer: İnfaz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40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40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740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2B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B2620"/>
    <w:rsid w:val="003740BD"/>
    <w:rsid w:val="00402BB9"/>
    <w:rsid w:val="006055A2"/>
    <w:rsid w:val="0077593B"/>
    <w:rsid w:val="007F173B"/>
    <w:rsid w:val="00832BE3"/>
    <w:rsid w:val="00BC32DD"/>
    <w:rsid w:val="00C8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B8D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Yaprak Öntan</dc:creator>
  <cp:keywords/>
  <dc:description/>
  <cp:lastModifiedBy>Yaprak Öntan</cp:lastModifiedBy>
  <cp:revision>6</cp:revision>
  <dcterms:created xsi:type="dcterms:W3CDTF">2017-11-16T11:40:00Z</dcterms:created>
  <dcterms:modified xsi:type="dcterms:W3CDTF">2017-11-16T13:09:00Z</dcterms:modified>
</cp:coreProperties>
</file>