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58"/>
        <w:gridCol w:w="8841"/>
      </w:tblGrid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592" w:type="dxa"/>
          </w:tcPr>
          <w:p w:rsidR="00BC32DD" w:rsidRPr="001A2552" w:rsidRDefault="00041C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Isl431 ULUSLARARASI İŞLETME POLİTİKASI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592" w:type="dxa"/>
          </w:tcPr>
          <w:p w:rsidR="00BC32DD" w:rsidRPr="001A2552" w:rsidRDefault="00041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DİLBER ULAŞ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592" w:type="dxa"/>
          </w:tcPr>
          <w:p w:rsidR="00BC32DD" w:rsidRPr="001A2552" w:rsidRDefault="00041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592" w:type="dxa"/>
          </w:tcPr>
          <w:p w:rsidR="00BC32DD" w:rsidRPr="001A2552" w:rsidRDefault="00041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592" w:type="dxa"/>
          </w:tcPr>
          <w:p w:rsidR="00BC32DD" w:rsidRPr="001A2552" w:rsidRDefault="00041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592" w:type="dxa"/>
          </w:tcPr>
          <w:tbl>
            <w:tblPr>
              <w:tblW w:w="955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80"/>
              <w:gridCol w:w="8578"/>
            </w:tblGrid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1.Hafta</w:t>
                  </w:r>
                </w:p>
              </w:tc>
              <w:tc>
                <w:tcPr>
                  <w:tcW w:w="8606" w:type="dxa"/>
                  <w:tcBorders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8B1212">
                  <w:pPr>
                    <w:numPr>
                      <w:ilvl w:val="0"/>
                      <w:numId w:val="5"/>
                    </w:numPr>
                    <w:ind w:left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proofErr w:type="gram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Uluslararası  İşletme</w:t>
                  </w:r>
                  <w:proofErr w:type="gram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Faaliyetlerinin Temel Çerçevesi </w:t>
                  </w:r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ab/>
                  </w:r>
                </w:p>
                <w:p w:rsidR="008B1212" w:rsidRPr="00E964B5" w:rsidRDefault="008B1212" w:rsidP="004C2D23">
                  <w:pPr>
                    <w:ind w:firstLine="72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Ulusal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Uluslararası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Çokuluslu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Küresel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Doğuştan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Küresel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İşletme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Tanımları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Faaliyetlerinin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Önemi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Kapsamı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İşletmelerde Büyüme,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Uluslararsılaşma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derecesi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uluslararasılaşma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teorileri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da-DK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2.Hafta</w:t>
                  </w: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Uluslararası İşletmeleri Etkileyen Dışsal Faktörlerin Önemi  (Dışsal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Içsel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Çevre Analizi)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da-DK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İşletmelerin </w:t>
                  </w:r>
                  <w:proofErr w:type="gram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Uluslararası  Faaliyetlere</w:t>
                  </w:r>
                  <w:proofErr w:type="gram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Girişme Nedenleri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Sürdürülebilirlik Kavramı ve İşletmeler açısından Önemi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3.Hafta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Konu-basligi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II. İşletmelerin Uluslararası Pazarlara Giriş Stratejileri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ind w:firstLine="720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Uluslararası Pazara Giriş Kararı Ve Uluslararası Pazarlara Yönelme Nedenleri      </w:t>
                  </w:r>
                </w:p>
                <w:p w:rsidR="008B1212" w:rsidRPr="00E964B5" w:rsidRDefault="008B1212" w:rsidP="004C2D23">
                  <w:pPr>
                    <w:ind w:firstLine="72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ind w:firstLine="720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Hedef ülke pazar araştırması nasıl yapılır?   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İkncil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ve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Birincil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very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Kaynaklarıyla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Pazar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Araştırması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trademap’in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kullanılması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4.Hafta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1.  İhracat Stratejileri </w:t>
                  </w:r>
                </w:p>
                <w:p w:rsidR="008B1212" w:rsidRPr="00E964B5" w:rsidRDefault="008B1212" w:rsidP="004C2D2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İhracat Stratejisi, Aktif Pasif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Ihracatçı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Nedir?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İhracat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Başlama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Nedenleri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Ihracatta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Yapılan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Hatalar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İhracat Faaliyeti Aşamaları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İhracat Biçimleri Ve Aracıları </w:t>
                  </w:r>
                </w:p>
                <w:p w:rsidR="008B1212" w:rsidRPr="00E964B5" w:rsidRDefault="008B1212" w:rsidP="008B1212">
                  <w:pPr>
                    <w:numPr>
                      <w:ilvl w:val="0"/>
                      <w:numId w:val="6"/>
                    </w:numPr>
                    <w:ind w:left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Doğrudan İhracat</w:t>
                  </w:r>
                </w:p>
                <w:p w:rsidR="008B1212" w:rsidRPr="00E964B5" w:rsidRDefault="008B1212" w:rsidP="008B1212">
                  <w:pPr>
                    <w:numPr>
                      <w:ilvl w:val="0"/>
                      <w:numId w:val="6"/>
                    </w:numPr>
                    <w:ind w:left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Dolaylı İhracat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Hizmet İhracatı, İnternet ve Elektronik Ticaret ile Doğrudan İhracat,</w:t>
                  </w:r>
                  <w:r w:rsidRPr="00E964B5">
                    <w:rPr>
                      <w:rFonts w:ascii="Times New Roman" w:hAnsi="Times New Roman"/>
                      <w:bCs/>
                      <w:sz w:val="22"/>
                      <w:szCs w:val="22"/>
                      <w:lang w:val="de-DE"/>
                    </w:rPr>
                    <w:t xml:space="preserve"> E-</w:t>
                  </w:r>
                  <w:proofErr w:type="spellStart"/>
                  <w:r w:rsidRPr="00E964B5">
                    <w:rPr>
                      <w:rFonts w:ascii="Times New Roman" w:hAnsi="Times New Roman"/>
                      <w:bCs/>
                      <w:sz w:val="22"/>
                      <w:szCs w:val="22"/>
                      <w:lang w:val="de-DE"/>
                    </w:rPr>
                    <w:t>Ticaret</w:t>
                  </w:r>
                  <w:proofErr w:type="spellEnd"/>
                  <w:r w:rsidRPr="00E964B5">
                    <w:rPr>
                      <w:rFonts w:ascii="Times New Roman" w:hAnsi="Times New Roman"/>
                      <w:bCs/>
                      <w:sz w:val="22"/>
                      <w:szCs w:val="22"/>
                      <w:lang w:val="de-DE"/>
                    </w:rPr>
                    <w:t>,</w:t>
                  </w:r>
                  <w:r w:rsidRPr="00E964B5">
                    <w:rPr>
                      <w:rFonts w:ascii="Times New Roman" w:eastAsia="Symbol" w:hAnsi="Times New Roman"/>
                      <w:sz w:val="22"/>
                      <w:szCs w:val="22"/>
                      <w:lang w:val="de-DE"/>
                    </w:rPr>
                    <w:t xml:space="preserve"> 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>İşleyiş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>Sistemi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>internet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>Pazar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>Yerleri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 xml:space="preserve"> ( B2B, B2C, C2C )</w:t>
                  </w:r>
                </w:p>
                <w:p w:rsidR="008B1212" w:rsidRPr="00724FD8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ÖRNEK İHRACAT PLANI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Kanvas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İş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Modeli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Uluslararası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Girişimcilik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Örnekler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UBER,McDonalds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Starbucks 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iş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modellerinin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incelenmesi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5.Hafta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2.Sözleşmeli Giriş Stratejileri</w:t>
                  </w:r>
                </w:p>
                <w:p w:rsidR="008B1212" w:rsidRPr="00E964B5" w:rsidRDefault="008B1212" w:rsidP="004C2D23">
                  <w:pPr>
                    <w:pStyle w:val="Konu-basligi"/>
                    <w:spacing w:before="0" w:after="0"/>
                    <w:ind w:left="0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Franchising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ab/>
                  </w:r>
                </w:p>
                <w:p w:rsidR="008B1212" w:rsidRPr="00E964B5" w:rsidRDefault="008B1212" w:rsidP="004C2D23">
                  <w:pPr>
                    <w:ind w:firstLine="720"/>
                    <w:rPr>
                      <w:rFonts w:ascii="Times New Roman" w:hAnsi="Times New Roman"/>
                      <w:sz w:val="22"/>
                      <w:lang w:val="es-ES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Franchise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Franchisee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Franchisor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Kavramları Nedir?</w:t>
                  </w:r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Franchising’in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Gelişimi, Marka geliştirmenin Önemi, Hangi işletmeler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franchise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verebilir?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Franchise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Veren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Açısından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Avantaj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Dezavantajları</w:t>
                  </w:r>
                  <w:proofErr w:type="spellEnd"/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Franchise Alan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Açısından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Açısından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Avantaj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Dezavantajları</w:t>
                  </w:r>
                  <w:proofErr w:type="spellEnd"/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Politik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riskin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franchise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veren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açısından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değerlendirilmesi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Kobi’ler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Açısından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Franchising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Sisteminin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Değerlendirilmesi</w:t>
                  </w:r>
                  <w:proofErr w:type="spellEnd"/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b/>
                      <w:sz w:val="22"/>
                      <w:lang w:val="fr-FR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Franchising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Sisteminin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iş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modeli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olarak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incelenmesi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IGOR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Ansoff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Büyüme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Matrisi</w:t>
                  </w:r>
                  <w:proofErr w:type="spellEnd"/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Franchise </w:t>
                  </w:r>
                  <w:proofErr w:type="spellStart"/>
                  <w:proofErr w:type="gram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alan</w:t>
                  </w:r>
                  <w:proofErr w:type="spellEnd"/>
                  <w:proofErr w:type="gram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girişimci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midir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? Mc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Donalds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Örnek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olayı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6.Hafta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ind w:firstLine="72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Lisans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Anlaşmaları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Lisans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Anlaşmalarının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Tanımı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Kapsamı</w:t>
                  </w:r>
                  <w:proofErr w:type="spellEnd"/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Avantaj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Dezavantajları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Lisans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Anlaşması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Çeşitleri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Franchising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Lisanslama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’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nın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Karşılaştırılması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Starbucks, Coca Cola,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Bodyshop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IKEA</w:t>
                  </w: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örnek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olayları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Değer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Yaratma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Deneyim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pazarlaması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7.Hafta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Sözleşmeli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Üretim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ab/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Sözleşmeli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Üretimin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Tanımı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Kapsamı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Sözleşmeli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Üretimin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Avantaj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Dezavantajları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sözleşmeli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üretim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ile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marka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yaratılabilir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mi ?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  <w:t>Nike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  <w:t xml:space="preserve"> Örnek Olayı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Anahtar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Teslim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Projeler</w:t>
                  </w:r>
                  <w:proofErr w:type="spellEnd"/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ab/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Tanımı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Kapsamı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Avantaj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Dezavantajları</w:t>
                  </w:r>
                  <w:proofErr w:type="spellEnd"/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Yönetim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Sözleşmeleri</w:t>
                  </w:r>
                  <w:proofErr w:type="spellEnd"/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         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Tanımı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Kapsamı</w:t>
                  </w:r>
                  <w:proofErr w:type="spellEnd"/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ab/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Taraflar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Açısından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Avantaj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Dezavantajları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8.hafta</w:t>
                  </w:r>
                </w:p>
              </w:tc>
              <w:tc>
                <w:tcPr>
                  <w:tcW w:w="8606" w:type="dxa"/>
                  <w:tcBorders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Doğrudan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(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Dolaysız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)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Yabancı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Yatırımların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Artan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Önemi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Gelişimi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ind w:firstLine="72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Türkiye’ye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Gelen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Dolaysız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Yabancı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Sermaye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Yatırımlarını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Etkileyen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Faktörler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Üzerine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Başlıca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Çalışmalar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portföy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yatırımlarından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farklılıkları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Marka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Değeri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Bileşenleri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Küresel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Marka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Oluşturma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Marka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Kimliği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Elemanlarının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İncelenmesi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Marka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satın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almaları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Örnek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Olay: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Otomobil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markası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oluşturma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Porter’ın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rekabet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gücünü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oluşturan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faktörlere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gore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incelenmesi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9.Hafta</w:t>
                  </w:r>
                </w:p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Ortak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Girişimler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(Joint Venture)</w:t>
                  </w: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ab/>
                  </w: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ab/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Ortak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Girişim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Oluşturma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Nedenleri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da-DK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Ortak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Girişim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Türleri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Ortak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Girişimlerde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Kontrol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Başarı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Ortak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Girişimlerin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Sonlan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dır</w:t>
                  </w: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Nedenleri</w:t>
                  </w:r>
                  <w:proofErr w:type="spellEnd"/>
                </w:p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  <w:lang w:val="fr-FR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Rusya’daki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Migros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Türk</w:t>
                  </w:r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Silk and Cashmere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örnek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olayı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10.Hafta</w:t>
                  </w: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Uluslararası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Birleşme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Ve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Satınalmalar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Birleşme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satınalma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ve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ortak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girişim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stratejilerinin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farklılıkları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Ülker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-Godiva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örnek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olayı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BodyShop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örnek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olayı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11.Hafta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B1212" w:rsidRPr="00E964B5" w:rsidRDefault="008B1212" w:rsidP="004C2D23">
                  <w:pPr>
                    <w:pStyle w:val="Konu-basligi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Uluslararası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İşletmecilikte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diğer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konular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Ülke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Riski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politik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risk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politik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risk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yönetimi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yatırım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yapmadan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yaptıktan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sonra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riskten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kaçınma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yöntemleri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B1212" w:rsidRPr="00E964B5" w:rsidRDefault="008B1212" w:rsidP="004C2D23">
                  <w:pPr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Tarifeli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Tarife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Dışı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Engeller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CE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işareti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B1212" w:rsidRPr="00E964B5" w:rsidRDefault="008B1212" w:rsidP="008B121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Uluslararası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Ekonomik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Örgütler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ve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Bölgesel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Ekonomik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Bütünleşmeler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12.Hafta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Konu-basligi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>Kobi’lerin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>Yabancı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>Ülke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>Pazarlarına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>Giriş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  <w:lang w:val="fr-FR"/>
                    </w:rPr>
                    <w:t>Stratejileri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da-DK"/>
                    </w:rPr>
                    <w:t>KOBİ’lerin özellikleri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  <w:t>Sektörel Dış Ticaret Şirketleri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Dış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Ticaret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Sermaye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Şirketleri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Kümelenmeler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KOBİ’ler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İnovasyon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13.Hafta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Konu-basligi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Uluslararası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pazarlara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girdikten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sonra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verilmesi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gereken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kararlar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 : Mal,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fiyat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dağıtım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,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tutundurma</w:t>
                  </w:r>
                  <w:proofErr w:type="spellEnd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  <w:lang w:val="fr-FR"/>
                    </w:rPr>
                    <w:t>kararları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  <w:t>Mal- Müşteri değeri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Fiyatlandırma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stratejileri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Dağıtım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stratejileri</w:t>
                  </w:r>
                  <w:proofErr w:type="spellEnd"/>
                </w:p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Tutundurma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Kararları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, Coca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Cola’nın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reklam</w:t>
                  </w:r>
                  <w:proofErr w:type="spellEnd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stratejisi</w:t>
                  </w:r>
                  <w:proofErr w:type="spellEnd"/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964B5">
                    <w:rPr>
                      <w:rFonts w:ascii="Times New Roman" w:hAnsi="Times New Roman"/>
                      <w:sz w:val="22"/>
                      <w:szCs w:val="22"/>
                    </w:rPr>
                    <w:t>14.Hafta</w:t>
                  </w:r>
                </w:p>
              </w:tc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Konu-basligi"/>
                    <w:spacing w:before="0" w:after="0"/>
                    <w:ind w:left="0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E964B5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Proje ekiplerinin sunumları </w:t>
                  </w: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B1212" w:rsidRPr="00E964B5" w:rsidTr="004C2D23">
              <w:trPr>
                <w:cantSplit/>
                <w:trHeight w:val="20"/>
                <w:jc w:val="center"/>
              </w:trPr>
              <w:tc>
                <w:tcPr>
                  <w:tcW w:w="95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8606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8B1212" w:rsidRPr="00E964B5" w:rsidRDefault="008B1212" w:rsidP="004C2D23">
                  <w:pPr>
                    <w:pStyle w:val="OkumaParas"/>
                    <w:spacing w:before="0" w:after="0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B1212" w:rsidRPr="00E964B5" w:rsidRDefault="008B1212" w:rsidP="008B1212">
            <w:pPr>
              <w:tabs>
                <w:tab w:val="left" w:pos="6375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8592" w:type="dxa"/>
          </w:tcPr>
          <w:p w:rsidR="00BC32DD" w:rsidRPr="001A2552" w:rsidRDefault="008B1212" w:rsidP="008B121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İşletmelerin ülke içindeki pazarlardan farklı ülke pazarlarına giriş stratejilerini, rekabet karşısında kullanabilecekleri stratejileri öğrenmek, Uluslararası işletmelerin, çok uluslu şirketlerin, küresel ve doğuştan küresel </w:t>
            </w:r>
            <w:proofErr w:type="gramStart"/>
            <w:r>
              <w:rPr>
                <w:szCs w:val="16"/>
              </w:rPr>
              <w:t>işletmelerin  stratejileri</w:t>
            </w:r>
            <w:proofErr w:type="gramEnd"/>
            <w:r>
              <w:rPr>
                <w:szCs w:val="16"/>
              </w:rPr>
              <w:t>, farklılıkları konularında ekip çalışmasıyla bilgi sahibi olmaktır.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592" w:type="dxa"/>
          </w:tcPr>
          <w:p w:rsidR="00BC32DD" w:rsidRPr="001A2552" w:rsidRDefault="008B12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592" w:type="dxa"/>
          </w:tcPr>
          <w:p w:rsidR="00BC32DD" w:rsidRPr="001A2552" w:rsidRDefault="003532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592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592" w:type="dxa"/>
          </w:tcPr>
          <w:p w:rsid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Mine </w:t>
            </w:r>
            <w:proofErr w:type="spellStart"/>
            <w:r>
              <w:rPr>
                <w:rFonts w:ascii="Times New Roman" w:hAnsi="Times New Roman"/>
                <w:szCs w:val="20"/>
              </w:rPr>
              <w:t>Yılmazer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Meltem Onay, </w:t>
            </w:r>
            <w:r w:rsidRPr="0035327D">
              <w:rPr>
                <w:rFonts w:ascii="Times New Roman" w:hAnsi="Times New Roman"/>
                <w:b/>
                <w:szCs w:val="20"/>
              </w:rPr>
              <w:t>İhracat ve İthalat Yönetimi,</w:t>
            </w:r>
            <w:r>
              <w:rPr>
                <w:rFonts w:ascii="Times New Roman" w:hAnsi="Times New Roman"/>
                <w:szCs w:val="20"/>
              </w:rPr>
              <w:t xml:space="preserve"> Ekim 2015, Nobel yayınevi.</w:t>
            </w:r>
          </w:p>
          <w:p w:rsid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John J.</w:t>
            </w:r>
            <w:proofErr w:type="spellStart"/>
            <w:r>
              <w:rPr>
                <w:rFonts w:ascii="Times New Roman" w:hAnsi="Times New Roman"/>
                <w:szCs w:val="20"/>
              </w:rPr>
              <w:t>Wild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Kenneth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L.Wild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International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Business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>, Uluslar arası İşletmecilik, Küreselleşmenin Zorlukları</w:t>
            </w:r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çev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</w:rPr>
              <w:t>edit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>. Güler Sağlam Arı, Nobel Yayınevi, Ekim 2017.</w:t>
            </w:r>
          </w:p>
          <w:p w:rsidR="0035327D" w:rsidRP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 w:rsidRPr="0035327D">
              <w:rPr>
                <w:rFonts w:ascii="Times New Roman" w:hAnsi="Times New Roman"/>
                <w:szCs w:val="20"/>
              </w:rPr>
              <w:t xml:space="preserve">John D.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Daniels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And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 Lee H.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Radebaugh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International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Business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 xml:space="preserve">: </w:t>
            </w:r>
            <w:proofErr w:type="spellStart"/>
            <w:proofErr w:type="gramStart"/>
            <w:r w:rsidRPr="0035327D">
              <w:rPr>
                <w:rFonts w:ascii="Times New Roman" w:hAnsi="Times New Roman"/>
                <w:b/>
                <w:szCs w:val="20"/>
              </w:rPr>
              <w:t>Environments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 xml:space="preserve">   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And</w:t>
            </w:r>
            <w:proofErr w:type="spellEnd"/>
            <w:proofErr w:type="gramEnd"/>
            <w:r w:rsidRPr="0035327D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Operations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>, 8</w:t>
            </w:r>
            <w:r w:rsidRPr="0035327D">
              <w:rPr>
                <w:rFonts w:ascii="Times New Roman" w:hAnsi="Times New Roman"/>
                <w:szCs w:val="20"/>
                <w:vertAlign w:val="superscript"/>
              </w:rPr>
              <w:t>th</w:t>
            </w:r>
            <w:r w:rsidRPr="0035327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Edition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(New York: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Addison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>-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Wesley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>, 1998. (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Chapters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>: 1, 5, 6, 7, 8, 9, 10, 11, 13, 17)</w:t>
            </w:r>
          </w:p>
          <w:p w:rsidR="0035327D" w:rsidRP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35327D">
              <w:rPr>
                <w:rFonts w:ascii="Times New Roman" w:hAnsi="Times New Roman"/>
                <w:szCs w:val="20"/>
              </w:rPr>
              <w:t>Nanshi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 F.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Matsuura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International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Business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 xml:space="preserve">: A New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Era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(New York: </w:t>
            </w:r>
            <w:proofErr w:type="spellStart"/>
            <w:proofErr w:type="gramStart"/>
            <w:r w:rsidRPr="0035327D">
              <w:rPr>
                <w:rFonts w:ascii="Times New Roman" w:hAnsi="Times New Roman"/>
                <w:szCs w:val="20"/>
              </w:rPr>
              <w:t>Hbj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  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Publishers</w:t>
            </w:r>
            <w:proofErr w:type="spellEnd"/>
            <w:proofErr w:type="gramEnd"/>
            <w:r w:rsidRPr="0035327D">
              <w:rPr>
                <w:rFonts w:ascii="Times New Roman" w:hAnsi="Times New Roman"/>
                <w:szCs w:val="20"/>
              </w:rPr>
              <w:t>, 1991)</w:t>
            </w:r>
          </w:p>
          <w:p w:rsidR="0035327D" w:rsidRP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 w:rsidRPr="0035327D">
              <w:rPr>
                <w:rFonts w:ascii="Times New Roman" w:hAnsi="Times New Roman"/>
                <w:szCs w:val="20"/>
                <w:lang w:val="fr-FR"/>
              </w:rPr>
              <w:t xml:space="preserve">Michael R. </w:t>
            </w:r>
            <w:proofErr w:type="spellStart"/>
            <w:r w:rsidRPr="0035327D">
              <w:rPr>
                <w:rFonts w:ascii="Times New Roman" w:hAnsi="Times New Roman"/>
                <w:szCs w:val="20"/>
                <w:lang w:val="fr-FR"/>
              </w:rPr>
              <w:t>Czinkota</w:t>
            </w:r>
            <w:proofErr w:type="spellEnd"/>
            <w:r w:rsidRPr="0035327D">
              <w:rPr>
                <w:rFonts w:ascii="Times New Roman" w:hAnsi="Times New Roman"/>
                <w:szCs w:val="20"/>
                <w:lang w:val="fr-FR"/>
              </w:rPr>
              <w:t xml:space="preserve">, </w:t>
            </w:r>
            <w:proofErr w:type="spellStart"/>
            <w:r w:rsidRPr="0035327D">
              <w:rPr>
                <w:rFonts w:ascii="Times New Roman" w:hAnsi="Times New Roman"/>
                <w:szCs w:val="20"/>
                <w:lang w:val="fr-FR"/>
              </w:rPr>
              <w:t>Pietra</w:t>
            </w:r>
            <w:proofErr w:type="spellEnd"/>
            <w:r w:rsidRPr="0035327D">
              <w:rPr>
                <w:rFonts w:ascii="Times New Roman" w:hAnsi="Times New Roman"/>
                <w:szCs w:val="20"/>
                <w:lang w:val="fr-FR"/>
              </w:rPr>
              <w:t xml:space="preserve"> Rivoli, And </w:t>
            </w:r>
            <w:proofErr w:type="spellStart"/>
            <w:r w:rsidRPr="0035327D">
              <w:rPr>
                <w:rFonts w:ascii="Times New Roman" w:hAnsi="Times New Roman"/>
                <w:szCs w:val="20"/>
                <w:lang w:val="fr-FR"/>
              </w:rPr>
              <w:t>Ilkka</w:t>
            </w:r>
            <w:proofErr w:type="spellEnd"/>
            <w:r w:rsidRPr="0035327D">
              <w:rPr>
                <w:rFonts w:ascii="Times New Roman" w:hAnsi="Times New Roman"/>
                <w:szCs w:val="20"/>
                <w:lang w:val="fr-FR"/>
              </w:rPr>
              <w:t xml:space="preserve"> A. </w:t>
            </w:r>
            <w:proofErr w:type="spellStart"/>
            <w:r w:rsidRPr="0035327D">
              <w:rPr>
                <w:rFonts w:ascii="Times New Roman" w:hAnsi="Times New Roman"/>
                <w:szCs w:val="20"/>
                <w:lang w:val="fr-FR"/>
              </w:rPr>
              <w:t>Ronkainen</w:t>
            </w:r>
            <w:proofErr w:type="spellEnd"/>
            <w:r w:rsidRPr="0035327D">
              <w:rPr>
                <w:rFonts w:ascii="Times New Roman" w:hAnsi="Times New Roman"/>
                <w:szCs w:val="20"/>
                <w:lang w:val="fr-FR"/>
              </w:rPr>
              <w:t xml:space="preserve">, </w:t>
            </w:r>
            <w:r w:rsidRPr="0035327D">
              <w:rPr>
                <w:rFonts w:ascii="Times New Roman" w:hAnsi="Times New Roman"/>
                <w:b/>
                <w:szCs w:val="20"/>
                <w:lang w:val="fr-FR"/>
              </w:rPr>
              <w:t xml:space="preserve">International 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Business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(Chicago: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The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Dryden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Press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>, 1989)</w:t>
            </w:r>
          </w:p>
          <w:p w:rsidR="0035327D" w:rsidRP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 w:rsidRPr="0035327D">
              <w:rPr>
                <w:rFonts w:ascii="Times New Roman" w:hAnsi="Times New Roman"/>
                <w:szCs w:val="20"/>
              </w:rPr>
              <w:t xml:space="preserve">Emrah Cengiz, Ercan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Gegez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Müge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Arslan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Serdar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Pirtini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 xml:space="preserve">, Mehmet Tığlı, </w:t>
            </w:r>
            <w:r w:rsidRPr="0035327D">
              <w:rPr>
                <w:rFonts w:ascii="Times New Roman" w:hAnsi="Times New Roman"/>
                <w:b/>
                <w:szCs w:val="20"/>
              </w:rPr>
              <w:t xml:space="preserve">Uluslararası </w:t>
            </w:r>
            <w:proofErr w:type="gramStart"/>
            <w:r w:rsidRPr="0035327D">
              <w:rPr>
                <w:rFonts w:ascii="Times New Roman" w:hAnsi="Times New Roman"/>
                <w:b/>
                <w:szCs w:val="20"/>
              </w:rPr>
              <w:t>Pazarlara  Giriş</w:t>
            </w:r>
            <w:proofErr w:type="gramEnd"/>
            <w:r w:rsidRPr="0035327D">
              <w:rPr>
                <w:rFonts w:ascii="Times New Roman" w:hAnsi="Times New Roman"/>
                <w:b/>
                <w:szCs w:val="20"/>
              </w:rPr>
              <w:t xml:space="preserve"> Stratejileri,</w:t>
            </w:r>
            <w:r w:rsidRPr="0035327D">
              <w:rPr>
                <w:rFonts w:ascii="Times New Roman" w:hAnsi="Times New Roman"/>
                <w:szCs w:val="20"/>
              </w:rPr>
              <w:t xml:space="preserve"> Der Yayınları, 2003.</w:t>
            </w:r>
          </w:p>
          <w:p w:rsidR="0035327D" w:rsidRP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 w:rsidRPr="0035327D">
              <w:rPr>
                <w:rFonts w:ascii="Times New Roman" w:hAnsi="Times New Roman"/>
                <w:szCs w:val="20"/>
              </w:rPr>
              <w:t xml:space="preserve">Ferit Kula, </w:t>
            </w:r>
            <w:r w:rsidRPr="0035327D">
              <w:rPr>
                <w:rFonts w:ascii="Times New Roman" w:hAnsi="Times New Roman"/>
                <w:b/>
                <w:szCs w:val="20"/>
              </w:rPr>
              <w:t xml:space="preserve">Çok Uluslu Girişimler ve Türkiye, </w:t>
            </w:r>
            <w:r w:rsidRPr="0035327D">
              <w:rPr>
                <w:rFonts w:ascii="Times New Roman" w:hAnsi="Times New Roman"/>
                <w:szCs w:val="20"/>
              </w:rPr>
              <w:t>İleri yayınları, Mart 2006.</w:t>
            </w:r>
          </w:p>
          <w:p w:rsidR="0035327D" w:rsidRP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 w:rsidRPr="0035327D">
              <w:rPr>
                <w:rFonts w:ascii="Times New Roman" w:hAnsi="Times New Roman"/>
                <w:szCs w:val="20"/>
              </w:rPr>
              <w:t xml:space="preserve">Dilber Ulaş, </w:t>
            </w:r>
            <w:r w:rsidRPr="0035327D">
              <w:rPr>
                <w:rFonts w:ascii="Times New Roman" w:hAnsi="Times New Roman"/>
                <w:b/>
                <w:szCs w:val="20"/>
              </w:rPr>
              <w:t xml:space="preserve">Uluslararası Pazarlara Giriş Stratejisi Olarak Ortak Girişimler Ve </w:t>
            </w:r>
            <w:proofErr w:type="gramStart"/>
            <w:r w:rsidRPr="0035327D">
              <w:rPr>
                <w:rFonts w:ascii="Times New Roman" w:hAnsi="Times New Roman"/>
                <w:b/>
                <w:szCs w:val="20"/>
              </w:rPr>
              <w:t>Türkiye  Uygulamaları</w:t>
            </w:r>
            <w:proofErr w:type="gramEnd"/>
            <w:r w:rsidRPr="0035327D">
              <w:rPr>
                <w:rFonts w:ascii="Times New Roman" w:hAnsi="Times New Roman"/>
                <w:szCs w:val="20"/>
              </w:rPr>
              <w:t xml:space="preserve">, Turhan </w:t>
            </w:r>
            <w:proofErr w:type="spellStart"/>
            <w:r w:rsidRPr="0035327D">
              <w:rPr>
                <w:rFonts w:ascii="Times New Roman" w:hAnsi="Times New Roman"/>
                <w:szCs w:val="20"/>
              </w:rPr>
              <w:t>Kitabevi</w:t>
            </w:r>
            <w:proofErr w:type="spellEnd"/>
            <w:r w:rsidRPr="0035327D">
              <w:rPr>
                <w:rFonts w:ascii="Times New Roman" w:hAnsi="Times New Roman"/>
                <w:szCs w:val="20"/>
              </w:rPr>
              <w:t>, 2003.</w:t>
            </w:r>
          </w:p>
          <w:p w:rsidR="0035327D" w:rsidRPr="0035327D" w:rsidRDefault="0035327D" w:rsidP="0035327D">
            <w:pPr>
              <w:jc w:val="left"/>
              <w:rPr>
                <w:rFonts w:ascii="Times New Roman" w:hAnsi="Times New Roman"/>
                <w:szCs w:val="20"/>
              </w:rPr>
            </w:pPr>
            <w:r w:rsidRPr="0035327D">
              <w:rPr>
                <w:rFonts w:ascii="Times New Roman" w:hAnsi="Times New Roman"/>
                <w:szCs w:val="20"/>
              </w:rPr>
              <w:t xml:space="preserve">Dilber Ulaş, </w:t>
            </w:r>
            <w:proofErr w:type="spellStart"/>
            <w:r w:rsidRPr="0035327D">
              <w:rPr>
                <w:rFonts w:ascii="Times New Roman" w:hAnsi="Times New Roman"/>
                <w:b/>
                <w:szCs w:val="20"/>
              </w:rPr>
              <w:t>Franchising</w:t>
            </w:r>
            <w:proofErr w:type="spellEnd"/>
            <w:r w:rsidRPr="0035327D">
              <w:rPr>
                <w:rFonts w:ascii="Times New Roman" w:hAnsi="Times New Roman"/>
                <w:b/>
                <w:szCs w:val="20"/>
              </w:rPr>
              <w:t xml:space="preserve"> Sistemi</w:t>
            </w:r>
            <w:r w:rsidRPr="0035327D">
              <w:rPr>
                <w:rFonts w:ascii="Times New Roman" w:hAnsi="Times New Roman"/>
                <w:szCs w:val="20"/>
              </w:rPr>
              <w:t>, Nobel Yayınevi, 1999.</w:t>
            </w:r>
          </w:p>
          <w:p w:rsidR="00BC32DD" w:rsidRPr="001A2552" w:rsidRDefault="0035327D" w:rsidP="0035327D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  <w:proofErr w:type="spellStart"/>
            <w:r w:rsidRPr="0035327D">
              <w:rPr>
                <w:rFonts w:ascii="Times New Roman" w:hAnsi="Times New Roman"/>
                <w:sz w:val="20"/>
              </w:rPr>
              <w:t>Dilber</w:t>
            </w:r>
            <w:proofErr w:type="spellEnd"/>
            <w:r w:rsidRPr="0035327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sz w:val="20"/>
              </w:rPr>
              <w:t>Ulaş</w:t>
            </w:r>
            <w:proofErr w:type="spellEnd"/>
            <w:r w:rsidRPr="0035327D">
              <w:rPr>
                <w:rFonts w:ascii="Times New Roman" w:hAnsi="Times New Roman"/>
                <w:sz w:val="20"/>
              </w:rPr>
              <w:t>,</w:t>
            </w:r>
            <w:r w:rsidRPr="0035327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 w:val="20"/>
              </w:rPr>
              <w:t>Küreselleşme</w:t>
            </w:r>
            <w:proofErr w:type="spellEnd"/>
            <w:r w:rsidRPr="0035327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 w:val="20"/>
              </w:rPr>
              <w:t>Sürecinde</w:t>
            </w:r>
            <w:proofErr w:type="spellEnd"/>
            <w:r w:rsidRPr="0035327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 w:val="20"/>
              </w:rPr>
              <w:t>Dışa</w:t>
            </w:r>
            <w:proofErr w:type="spellEnd"/>
            <w:r w:rsidRPr="0035327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 w:val="20"/>
              </w:rPr>
              <w:t>Açılma</w:t>
            </w:r>
            <w:proofErr w:type="spellEnd"/>
            <w:r w:rsidRPr="0035327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5327D">
              <w:rPr>
                <w:rFonts w:ascii="Times New Roman" w:hAnsi="Times New Roman"/>
                <w:b/>
                <w:sz w:val="20"/>
              </w:rPr>
              <w:t>Stratejileri</w:t>
            </w:r>
            <w:proofErr w:type="spellEnd"/>
            <w:r w:rsidRPr="0035327D"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35327D">
              <w:rPr>
                <w:rFonts w:ascii="Times New Roman" w:hAnsi="Times New Roman"/>
                <w:sz w:val="20"/>
              </w:rPr>
              <w:t xml:space="preserve">Nobel </w:t>
            </w:r>
            <w:proofErr w:type="spellStart"/>
            <w:r w:rsidRPr="0035327D">
              <w:rPr>
                <w:rFonts w:ascii="Times New Roman" w:hAnsi="Times New Roman"/>
                <w:sz w:val="20"/>
              </w:rPr>
              <w:t>yayınevi</w:t>
            </w:r>
            <w:proofErr w:type="spellEnd"/>
            <w:r w:rsidRPr="0035327D">
              <w:rPr>
                <w:rFonts w:ascii="Times New Roman" w:hAnsi="Times New Roman"/>
                <w:sz w:val="20"/>
              </w:rPr>
              <w:t>, 2009, Ankara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8592" w:type="dxa"/>
            <w:vAlign w:val="center"/>
          </w:tcPr>
          <w:p w:rsidR="00BC32DD" w:rsidRPr="001A2552" w:rsidRDefault="003532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592" w:type="dxa"/>
            <w:vAlign w:val="center"/>
          </w:tcPr>
          <w:p w:rsidR="00BC32DD" w:rsidRPr="001A2552" w:rsidRDefault="003532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B1212">
        <w:trPr>
          <w:jc w:val="center"/>
        </w:trPr>
        <w:tc>
          <w:tcPr>
            <w:tcW w:w="150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592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 w:rsidSect="00B3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78C"/>
    <w:multiLevelType w:val="singleLevel"/>
    <w:tmpl w:val="21C84A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>
    <w:nsid w:val="477059A2"/>
    <w:multiLevelType w:val="singleLevel"/>
    <w:tmpl w:val="E4FAFFA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4B66588B"/>
    <w:multiLevelType w:val="singleLevel"/>
    <w:tmpl w:val="21C84AE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4220B2"/>
    <w:multiLevelType w:val="singleLevel"/>
    <w:tmpl w:val="21C84AE4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701B7B9E"/>
    <w:multiLevelType w:val="singleLevel"/>
    <w:tmpl w:val="A8F0ABCC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  <w:lang w:val="en-GB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1C1F"/>
    <w:rsid w:val="000A48ED"/>
    <w:rsid w:val="0035327D"/>
    <w:rsid w:val="004D5089"/>
    <w:rsid w:val="00832BE3"/>
    <w:rsid w:val="008B1212"/>
    <w:rsid w:val="00B36BD4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35327D"/>
    <w:rPr>
      <w:color w:val="9E1E22"/>
      <w:u w:val="single"/>
    </w:rPr>
  </w:style>
  <w:style w:type="paragraph" w:customStyle="1" w:styleId="Konu-basligi">
    <w:name w:val="Konu-basligi"/>
    <w:basedOn w:val="Normal"/>
    <w:rsid w:val="008B1212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8B1212"/>
    <w:pPr>
      <w:numPr>
        <w:numId w:val="4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DILBER ULAS</dc:creator>
  <cp:lastModifiedBy>DILBER ULAS</cp:lastModifiedBy>
  <cp:revision>5</cp:revision>
  <dcterms:created xsi:type="dcterms:W3CDTF">2017-11-21T13:15:00Z</dcterms:created>
  <dcterms:modified xsi:type="dcterms:W3CDTF">2017-11-21T14:34:00Z</dcterms:modified>
</cp:coreProperties>
</file>