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BA" w:rsidRDefault="004531FC" w:rsidP="004531FC">
      <w:pPr>
        <w:jc w:val="both"/>
        <w:rPr>
          <w:rFonts w:ascii="Arial" w:hAnsi="Arial" w:cs="Arial"/>
          <w:b/>
          <w:sz w:val="24"/>
          <w:szCs w:val="24"/>
        </w:rPr>
      </w:pPr>
      <w:r w:rsidRPr="004531FC">
        <w:rPr>
          <w:rFonts w:ascii="Arial" w:hAnsi="Arial" w:cs="Arial"/>
          <w:b/>
          <w:sz w:val="24"/>
          <w:szCs w:val="24"/>
        </w:rPr>
        <w:t>Elektrik Enerjisi</w:t>
      </w:r>
    </w:p>
    <w:p w:rsidR="004531FC" w:rsidRDefault="004531FC" w:rsidP="004531F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1850  </w:t>
      </w:r>
      <w:proofErr w:type="spellStart"/>
      <w:r>
        <w:rPr>
          <w:rFonts w:ascii="Arial" w:hAnsi="Arial" w:cs="Arial"/>
          <w:sz w:val="24"/>
          <w:szCs w:val="24"/>
        </w:rPr>
        <w:t>lerde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başlayan buhar makinalarının yaygın olarak kullanılmaya başlanmasından sonra endüstriyel devrim süresince kömür en önemli fosil yakıt olarak tüketilmiştir. 1900 yılında dünya enerji tüketiminin yaklaşık %95 i kömürün yakılmasıyla sağlanmaktaydı. İçten yanmalı motorların bulunmasıyla petrol önem kazanmaya başlamış ve 1950 de en önemli fosil yakıt haline gelmiştir.</w:t>
      </w:r>
    </w:p>
    <w:p w:rsidR="004531FC" w:rsidRDefault="004531FC" w:rsidP="00453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Dünyadaki fosil yakıt rezervleri sınırlıdır. </w:t>
      </w:r>
      <w:r w:rsidR="001770A5">
        <w:rPr>
          <w:rFonts w:ascii="Arial" w:hAnsi="Arial" w:cs="Arial"/>
          <w:sz w:val="24"/>
          <w:szCs w:val="24"/>
        </w:rPr>
        <w:t>Çizelge 3’te</w:t>
      </w:r>
      <w:r>
        <w:rPr>
          <w:rFonts w:ascii="Arial" w:hAnsi="Arial" w:cs="Arial"/>
          <w:sz w:val="24"/>
          <w:szCs w:val="24"/>
        </w:rPr>
        <w:t xml:space="preserve"> ABD ve dünyadaki tahmini rezervler verilmiştir.</w:t>
      </w:r>
      <w:r w:rsidR="001770A5">
        <w:rPr>
          <w:rFonts w:ascii="Arial" w:hAnsi="Arial" w:cs="Arial"/>
          <w:sz w:val="24"/>
          <w:szCs w:val="24"/>
        </w:rPr>
        <w:t xml:space="preserve"> Çizelge 5’te fosil yakıtların tahmini üretim değerleri verilmiştir.</w:t>
      </w:r>
    </w:p>
    <w:p w:rsidR="00B646CA" w:rsidRDefault="00B646CA" w:rsidP="004531FC">
      <w:pPr>
        <w:jc w:val="both"/>
        <w:rPr>
          <w:rFonts w:ascii="Arial" w:hAnsi="Arial" w:cs="Arial"/>
          <w:sz w:val="24"/>
          <w:szCs w:val="24"/>
        </w:rPr>
      </w:pPr>
    </w:p>
    <w:p w:rsidR="00B646CA" w:rsidRDefault="00B646CA" w:rsidP="00453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Çizelge 5- Yıllık fosil yakıt üretim rakamları*</w:t>
      </w:r>
    </w:p>
    <w:tbl>
      <w:tblPr>
        <w:tblStyle w:val="TabloKlavuzu"/>
        <w:tblW w:w="12083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  <w:gridCol w:w="3021"/>
      </w:tblGrid>
      <w:tr w:rsidR="00B646CA" w:rsidTr="00B646CA">
        <w:trPr>
          <w:gridAfter w:val="1"/>
          <w:wAfter w:w="3021" w:type="dxa"/>
        </w:trPr>
        <w:tc>
          <w:tcPr>
            <w:tcW w:w="3020" w:type="dxa"/>
          </w:tcPr>
          <w:p w:rsidR="00B646CA" w:rsidRDefault="00B646CA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Yakıt</w:t>
            </w:r>
          </w:p>
        </w:tc>
        <w:tc>
          <w:tcPr>
            <w:tcW w:w="3021" w:type="dxa"/>
          </w:tcPr>
          <w:p w:rsidR="00B646CA" w:rsidRDefault="00B646CA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ABD</w:t>
            </w:r>
          </w:p>
        </w:tc>
        <w:tc>
          <w:tcPr>
            <w:tcW w:w="3021" w:type="dxa"/>
          </w:tcPr>
          <w:p w:rsidR="00B646CA" w:rsidRDefault="00B646CA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Dünya</w:t>
            </w:r>
          </w:p>
        </w:tc>
      </w:tr>
      <w:tr w:rsidR="00B646CA" w:rsidTr="00B646CA">
        <w:trPr>
          <w:gridAfter w:val="1"/>
          <w:wAfter w:w="3021" w:type="dxa"/>
        </w:trPr>
        <w:tc>
          <w:tcPr>
            <w:tcW w:w="3020" w:type="dxa"/>
          </w:tcPr>
          <w:p w:rsidR="00B646CA" w:rsidRDefault="00B646CA" w:rsidP="00B64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Kömür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788752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3301831</w:t>
            </w:r>
          </w:p>
        </w:tc>
      </w:tr>
      <w:tr w:rsidR="00B646CA" w:rsidTr="00B646CA">
        <w:trPr>
          <w:gridAfter w:val="1"/>
          <w:wAfter w:w="3021" w:type="dxa"/>
        </w:trPr>
        <w:tc>
          <w:tcPr>
            <w:tcW w:w="3020" w:type="dxa"/>
          </w:tcPr>
          <w:p w:rsidR="00B646CA" w:rsidRDefault="00B646CA" w:rsidP="00B64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Petrol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528113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4308141</w:t>
            </w:r>
          </w:p>
        </w:tc>
      </w:tr>
      <w:tr w:rsidR="00B646CA" w:rsidTr="00B646CA">
        <w:trPr>
          <w:gridAfter w:val="1"/>
          <w:wAfter w:w="3021" w:type="dxa"/>
        </w:trPr>
        <w:tc>
          <w:tcPr>
            <w:tcW w:w="3020" w:type="dxa"/>
          </w:tcPr>
          <w:p w:rsidR="00B646CA" w:rsidRDefault="00B646CA" w:rsidP="00B646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Doğal gaz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598546</w:t>
            </w:r>
          </w:p>
        </w:tc>
        <w:tc>
          <w:tcPr>
            <w:tcW w:w="3021" w:type="dxa"/>
          </w:tcPr>
          <w:p w:rsidR="00B646CA" w:rsidRDefault="00FF63CB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2499832</w:t>
            </w:r>
          </w:p>
        </w:tc>
      </w:tr>
      <w:tr w:rsidR="00B646CA" w:rsidTr="00B646CA">
        <w:trPr>
          <w:gridAfter w:val="1"/>
          <w:wAfter w:w="3021" w:type="dxa"/>
        </w:trPr>
        <w:tc>
          <w:tcPr>
            <w:tcW w:w="9062" w:type="dxa"/>
            <w:gridSpan w:val="3"/>
          </w:tcPr>
          <w:p w:rsidR="00B646CA" w:rsidRPr="0039740C" w:rsidRDefault="0039740C" w:rsidP="0039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6F672C" w:rsidRPr="0039740C">
              <w:rPr>
                <w:rFonts w:ascii="Arial" w:hAnsi="Arial" w:cs="Arial"/>
                <w:sz w:val="20"/>
                <w:szCs w:val="20"/>
              </w:rPr>
              <w:t>Enerji miktarını karşılaştırmak için metrik ton kömür eşdeğeri olarak verilmiştir</w:t>
            </w:r>
          </w:p>
        </w:tc>
      </w:tr>
      <w:tr w:rsidR="00B646CA" w:rsidTr="006D3907">
        <w:tc>
          <w:tcPr>
            <w:tcW w:w="9062" w:type="dxa"/>
            <w:gridSpan w:val="3"/>
          </w:tcPr>
          <w:p w:rsidR="00B646CA" w:rsidRPr="006F672C" w:rsidRDefault="006F672C" w:rsidP="00B646C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Kaynak: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Economic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Social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Information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Public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Affairs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Statistical Yearbook 1990-1991, New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York:United</w:t>
            </w:r>
            <w:proofErr w:type="spellEnd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Nations, 1993</w:t>
            </w:r>
          </w:p>
        </w:tc>
        <w:tc>
          <w:tcPr>
            <w:tcW w:w="3021" w:type="dxa"/>
          </w:tcPr>
          <w:p w:rsidR="00B646CA" w:rsidRDefault="00B646CA" w:rsidP="00B646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46CA" w:rsidRDefault="00B646CA" w:rsidP="004531FC">
      <w:pPr>
        <w:jc w:val="both"/>
        <w:rPr>
          <w:rFonts w:ascii="Arial" w:hAnsi="Arial" w:cs="Arial"/>
          <w:sz w:val="24"/>
          <w:szCs w:val="24"/>
        </w:rPr>
      </w:pPr>
    </w:p>
    <w:p w:rsidR="003775F0" w:rsidRDefault="003775F0" w:rsidP="00453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Fosil yakıtların uygunluğu onların fiziksel yapıları ile ilgilidir. En uygun olanı gazlar, daha sonra sıvılar ve en son olarak katılardır. Enerjinin kullanıma en uyg</w:t>
      </w:r>
      <w:r w:rsidR="004E0E2A">
        <w:rPr>
          <w:rFonts w:ascii="Arial" w:hAnsi="Arial" w:cs="Arial"/>
          <w:sz w:val="24"/>
          <w:szCs w:val="24"/>
        </w:rPr>
        <w:t>un hali elektrik enerjisidir. I</w:t>
      </w:r>
      <w:r>
        <w:rPr>
          <w:rFonts w:ascii="Arial" w:hAnsi="Arial" w:cs="Arial"/>
          <w:sz w:val="24"/>
          <w:szCs w:val="24"/>
        </w:rPr>
        <w:t xml:space="preserve">sıtma, soğutma, transport gibi birçok alanda kolayca kullanılabilmektedir. </w:t>
      </w:r>
    </w:p>
    <w:p w:rsidR="003775F0" w:rsidRPr="0084515B" w:rsidRDefault="003775F0" w:rsidP="00453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Herhangi bir yakıtla su ısıtılıp buhar el</w:t>
      </w:r>
      <w:r w:rsidR="00A87E3C">
        <w:rPr>
          <w:rFonts w:ascii="Arial" w:hAnsi="Arial" w:cs="Arial"/>
          <w:sz w:val="24"/>
          <w:szCs w:val="24"/>
        </w:rPr>
        <w:t xml:space="preserve">de edildikten sonra bu buhar </w:t>
      </w:r>
      <w:proofErr w:type="spellStart"/>
      <w:r w:rsidR="00A87E3C">
        <w:rPr>
          <w:rFonts w:ascii="Arial" w:hAnsi="Arial" w:cs="Arial"/>
          <w:sz w:val="24"/>
          <w:szCs w:val="24"/>
        </w:rPr>
        <w:t>tür</w:t>
      </w:r>
      <w:r>
        <w:rPr>
          <w:rFonts w:ascii="Arial" w:hAnsi="Arial" w:cs="Arial"/>
          <w:sz w:val="24"/>
          <w:szCs w:val="24"/>
        </w:rPr>
        <w:t>bünlere</w:t>
      </w:r>
      <w:proofErr w:type="spellEnd"/>
      <w:r>
        <w:rPr>
          <w:rFonts w:ascii="Arial" w:hAnsi="Arial" w:cs="Arial"/>
          <w:sz w:val="24"/>
          <w:szCs w:val="24"/>
        </w:rPr>
        <w:t xml:space="preserve"> gönderilerek elektrik enerjisi elde edilebilir. </w:t>
      </w:r>
      <w:r w:rsidR="00C364D4">
        <w:rPr>
          <w:rFonts w:ascii="Arial" w:hAnsi="Arial" w:cs="Arial"/>
          <w:sz w:val="24"/>
          <w:szCs w:val="24"/>
        </w:rPr>
        <w:t xml:space="preserve">1993 verilerine göre </w:t>
      </w:r>
      <w:r>
        <w:rPr>
          <w:rFonts w:ascii="Arial" w:hAnsi="Arial" w:cs="Arial"/>
          <w:sz w:val="24"/>
          <w:szCs w:val="24"/>
        </w:rPr>
        <w:t xml:space="preserve">ABD deki elektrik enerjisinin %56 </w:t>
      </w:r>
      <w:proofErr w:type="spellStart"/>
      <w:r>
        <w:rPr>
          <w:rFonts w:ascii="Arial" w:hAnsi="Arial" w:cs="Arial"/>
          <w:sz w:val="24"/>
          <w:szCs w:val="24"/>
        </w:rPr>
        <w:t>sı</w:t>
      </w:r>
      <w:proofErr w:type="spellEnd"/>
      <w:r>
        <w:rPr>
          <w:rFonts w:ascii="Arial" w:hAnsi="Arial" w:cs="Arial"/>
          <w:sz w:val="24"/>
          <w:szCs w:val="24"/>
        </w:rPr>
        <w:t xml:space="preserve"> kömürlerin yakılması işleminden üretilmektedir. </w:t>
      </w:r>
      <w:r w:rsidR="00480249">
        <w:rPr>
          <w:rFonts w:ascii="Arial" w:hAnsi="Arial" w:cs="Arial"/>
          <w:sz w:val="24"/>
          <w:szCs w:val="24"/>
        </w:rPr>
        <w:t>%4.2 si petrolden, %10,5 i doğal gazdan, %7,2 si hidrolik enerjiden, %21 i nükleer enerjiden elde edilmektedir. (su gücü)</w:t>
      </w:r>
      <w:r>
        <w:rPr>
          <w:rFonts w:ascii="Arial" w:hAnsi="Arial" w:cs="Arial"/>
          <w:sz w:val="24"/>
          <w:szCs w:val="24"/>
        </w:rPr>
        <w:t>Bu tür elektrik santralları en iyimser olarak %40 verime ulaşmakta, fosil yakıtın enerjisinin %60 ısı şeklinde yararsız hale dönüşmektedir.</w:t>
      </w:r>
      <w:r w:rsidR="0084515B">
        <w:rPr>
          <w:rFonts w:ascii="Arial" w:hAnsi="Arial" w:cs="Arial"/>
          <w:sz w:val="24"/>
          <w:szCs w:val="24"/>
        </w:rPr>
        <w:t xml:space="preserve"> Bugün açığa çıkan ısı ile evlerin ısıtılmasına çalışılmaktadır. Bu işleme </w:t>
      </w:r>
      <w:proofErr w:type="spellStart"/>
      <w:r w:rsidR="0084515B">
        <w:rPr>
          <w:rFonts w:ascii="Arial" w:hAnsi="Arial" w:cs="Arial"/>
          <w:b/>
          <w:sz w:val="24"/>
          <w:szCs w:val="24"/>
        </w:rPr>
        <w:t>kojenerasyon</w:t>
      </w:r>
      <w:proofErr w:type="spellEnd"/>
      <w:r w:rsidR="0084515B">
        <w:rPr>
          <w:rFonts w:ascii="Arial" w:hAnsi="Arial" w:cs="Arial"/>
          <w:b/>
          <w:sz w:val="24"/>
          <w:szCs w:val="24"/>
        </w:rPr>
        <w:t xml:space="preserve"> </w:t>
      </w:r>
      <w:r w:rsidR="0084515B">
        <w:rPr>
          <w:rFonts w:ascii="Arial" w:hAnsi="Arial" w:cs="Arial"/>
          <w:sz w:val="24"/>
          <w:szCs w:val="24"/>
        </w:rPr>
        <w:t>denir.</w:t>
      </w:r>
    </w:p>
    <w:p w:rsidR="003775F0" w:rsidRDefault="00B17CA6" w:rsidP="004531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Çizelge 6- Yakıtların fiziksel hallerine göre </w:t>
      </w:r>
      <w:r w:rsidR="00990391">
        <w:rPr>
          <w:rFonts w:ascii="Arial" w:hAnsi="Arial" w:cs="Arial"/>
          <w:sz w:val="24"/>
          <w:szCs w:val="24"/>
        </w:rPr>
        <w:t xml:space="preserve">yer altından </w:t>
      </w:r>
      <w:r>
        <w:rPr>
          <w:rFonts w:ascii="Arial" w:hAnsi="Arial" w:cs="Arial"/>
          <w:sz w:val="24"/>
          <w:szCs w:val="24"/>
        </w:rPr>
        <w:t>çıkarılması, taşınması, dağıtımı ve uygunluğu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52"/>
        <w:gridCol w:w="1730"/>
        <w:gridCol w:w="1693"/>
        <w:gridCol w:w="1674"/>
        <w:gridCol w:w="1217"/>
        <w:gridCol w:w="1096"/>
      </w:tblGrid>
      <w:tr w:rsidR="003B1F8B" w:rsidTr="00A87E3C">
        <w:trPr>
          <w:trHeight w:val="213"/>
        </w:trPr>
        <w:tc>
          <w:tcPr>
            <w:tcW w:w="1652" w:type="dxa"/>
            <w:vMerge w:val="restart"/>
          </w:tcPr>
          <w:p w:rsidR="003B1F8B" w:rsidRDefault="003B1F8B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Fiziksel hal</w:t>
            </w:r>
          </w:p>
        </w:tc>
        <w:tc>
          <w:tcPr>
            <w:tcW w:w="1730" w:type="dxa"/>
            <w:vMerge w:val="restart"/>
          </w:tcPr>
          <w:p w:rsidR="003B1F8B" w:rsidRDefault="003B1F8B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Çıkarılması</w:t>
            </w:r>
          </w:p>
        </w:tc>
        <w:tc>
          <w:tcPr>
            <w:tcW w:w="1693" w:type="dxa"/>
            <w:vMerge w:val="restart"/>
          </w:tcPr>
          <w:p w:rsidR="003B1F8B" w:rsidRDefault="003B1F8B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Şehirlere taşınması</w:t>
            </w:r>
          </w:p>
        </w:tc>
        <w:tc>
          <w:tcPr>
            <w:tcW w:w="1674" w:type="dxa"/>
            <w:vMerge w:val="restart"/>
          </w:tcPr>
          <w:p w:rsidR="003B1F8B" w:rsidRDefault="003B1F8B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Şehirde dağıtımı</w:t>
            </w:r>
          </w:p>
        </w:tc>
        <w:tc>
          <w:tcPr>
            <w:tcW w:w="2313" w:type="dxa"/>
            <w:gridSpan w:val="2"/>
          </w:tcPr>
          <w:p w:rsidR="003B1F8B" w:rsidRDefault="003B1F8B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Kullanım uygunluğu</w:t>
            </w:r>
          </w:p>
        </w:tc>
      </w:tr>
      <w:tr w:rsidR="0098790F" w:rsidTr="00A87E3C">
        <w:trPr>
          <w:trHeight w:val="213"/>
        </w:trPr>
        <w:tc>
          <w:tcPr>
            <w:tcW w:w="1652" w:type="dxa"/>
            <w:vMerge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Uygunluk</w:t>
            </w:r>
          </w:p>
        </w:tc>
        <w:tc>
          <w:tcPr>
            <w:tcW w:w="1096" w:type="dxa"/>
          </w:tcPr>
          <w:p w:rsidR="0098790F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Temizlik</w:t>
            </w:r>
          </w:p>
        </w:tc>
      </w:tr>
      <w:tr w:rsidR="003B1F8B" w:rsidTr="00A87E3C">
        <w:tc>
          <w:tcPr>
            <w:tcW w:w="1652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Katı (kömür, odun)</w:t>
            </w:r>
          </w:p>
        </w:tc>
        <w:tc>
          <w:tcPr>
            <w:tcW w:w="1730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İş makinaları, delme, patlatma</w:t>
            </w:r>
          </w:p>
        </w:tc>
        <w:tc>
          <w:tcPr>
            <w:tcW w:w="1693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Kamyon, tren, gemi</w:t>
            </w:r>
          </w:p>
        </w:tc>
        <w:tc>
          <w:tcPr>
            <w:tcW w:w="1674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Kamyon, kepçe</w:t>
            </w:r>
          </w:p>
        </w:tc>
        <w:tc>
          <w:tcPr>
            <w:tcW w:w="1217" w:type="dxa"/>
          </w:tcPr>
          <w:p w:rsidR="003B1F8B" w:rsidRDefault="00EF2979" w:rsidP="00EF2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az </w:t>
            </w:r>
          </w:p>
        </w:tc>
        <w:tc>
          <w:tcPr>
            <w:tcW w:w="1096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kirli</w:t>
            </w:r>
          </w:p>
        </w:tc>
      </w:tr>
      <w:tr w:rsidR="003B1F8B" w:rsidTr="00A87E3C">
        <w:tc>
          <w:tcPr>
            <w:tcW w:w="1652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Sıvı (benzin,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Pompalar</w:t>
            </w:r>
          </w:p>
        </w:tc>
        <w:tc>
          <w:tcPr>
            <w:tcW w:w="1693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Boru hattı, tanker, gemi, kamyon</w:t>
            </w:r>
          </w:p>
        </w:tc>
        <w:tc>
          <w:tcPr>
            <w:tcW w:w="1674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Kamyon</w:t>
            </w:r>
          </w:p>
        </w:tc>
        <w:tc>
          <w:tcPr>
            <w:tcW w:w="1217" w:type="dxa"/>
          </w:tcPr>
          <w:p w:rsidR="00EF2979" w:rsidRDefault="00EF2979" w:rsidP="00EF29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Biraz uygun</w:t>
            </w:r>
          </w:p>
        </w:tc>
        <w:tc>
          <w:tcPr>
            <w:tcW w:w="1096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Biraz temiz</w:t>
            </w:r>
          </w:p>
        </w:tc>
      </w:tr>
      <w:tr w:rsidR="003B1F8B" w:rsidTr="00A87E3C">
        <w:tc>
          <w:tcPr>
            <w:tcW w:w="1652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Gaz (doğal gaz)</w:t>
            </w:r>
          </w:p>
        </w:tc>
        <w:tc>
          <w:tcPr>
            <w:tcW w:w="1730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Pompalar</w:t>
            </w:r>
          </w:p>
        </w:tc>
        <w:tc>
          <w:tcPr>
            <w:tcW w:w="1693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Boru hattı</w:t>
            </w:r>
          </w:p>
        </w:tc>
        <w:tc>
          <w:tcPr>
            <w:tcW w:w="1674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Borular</w:t>
            </w:r>
          </w:p>
        </w:tc>
        <w:tc>
          <w:tcPr>
            <w:tcW w:w="1217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Daha da uygun</w:t>
            </w:r>
          </w:p>
        </w:tc>
        <w:tc>
          <w:tcPr>
            <w:tcW w:w="1096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Daha temiz</w:t>
            </w:r>
          </w:p>
        </w:tc>
      </w:tr>
      <w:tr w:rsidR="003B1F8B" w:rsidTr="00A87E3C">
        <w:tc>
          <w:tcPr>
            <w:tcW w:w="1652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Elektrik</w:t>
            </w:r>
          </w:p>
        </w:tc>
        <w:tc>
          <w:tcPr>
            <w:tcW w:w="1730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İletim telleri</w:t>
            </w:r>
          </w:p>
        </w:tc>
        <w:tc>
          <w:tcPr>
            <w:tcW w:w="1674" w:type="dxa"/>
          </w:tcPr>
          <w:p w:rsidR="003B1F8B" w:rsidRDefault="0098790F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İletim telleri</w:t>
            </w:r>
          </w:p>
        </w:tc>
        <w:tc>
          <w:tcPr>
            <w:tcW w:w="1217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çok</w:t>
            </w:r>
          </w:p>
        </w:tc>
        <w:tc>
          <w:tcPr>
            <w:tcW w:w="1096" w:type="dxa"/>
          </w:tcPr>
          <w:p w:rsidR="003B1F8B" w:rsidRDefault="00EF2979" w:rsidP="004531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temiz</w:t>
            </w:r>
          </w:p>
        </w:tc>
      </w:tr>
    </w:tbl>
    <w:p w:rsidR="003B1F8B" w:rsidRPr="004531FC" w:rsidRDefault="003B1F8B" w:rsidP="004531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B1F8B" w:rsidRPr="00453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911"/>
    <w:multiLevelType w:val="hybridMultilevel"/>
    <w:tmpl w:val="574690BA"/>
    <w:lvl w:ilvl="0" w:tplc="CD64FE74">
      <w:start w:val="18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D4"/>
    <w:rsid w:val="001770A5"/>
    <w:rsid w:val="003775F0"/>
    <w:rsid w:val="0039740C"/>
    <w:rsid w:val="003B1F8B"/>
    <w:rsid w:val="004531FC"/>
    <w:rsid w:val="00480249"/>
    <w:rsid w:val="00496DBA"/>
    <w:rsid w:val="004E0E2A"/>
    <w:rsid w:val="006F672C"/>
    <w:rsid w:val="0084515B"/>
    <w:rsid w:val="0098790F"/>
    <w:rsid w:val="00990391"/>
    <w:rsid w:val="00A87E3C"/>
    <w:rsid w:val="00B17CA6"/>
    <w:rsid w:val="00B646CA"/>
    <w:rsid w:val="00C364D4"/>
    <w:rsid w:val="00E54AD4"/>
    <w:rsid w:val="00EF2979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011"/>
  <w15:chartTrackingRefBased/>
  <w15:docId w15:val="{29550FBD-72D6-40E2-B5E4-6C87695E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20</cp:revision>
  <dcterms:created xsi:type="dcterms:W3CDTF">2017-11-16T08:24:00Z</dcterms:created>
  <dcterms:modified xsi:type="dcterms:W3CDTF">2017-11-16T12:15:00Z</dcterms:modified>
</cp:coreProperties>
</file>