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15DAF" w14:textId="77777777" w:rsidR="00121786" w:rsidRDefault="00121786" w:rsidP="00121786">
      <w:pPr>
        <w:tabs>
          <w:tab w:val="left" w:pos="360"/>
          <w:tab w:val="left" w:pos="567"/>
          <w:tab w:val="left" w:pos="993"/>
        </w:tabs>
        <w:ind w:right="-1"/>
        <w:jc w:val="center"/>
        <w:rPr>
          <w:b/>
        </w:rPr>
      </w:pPr>
      <w:r>
        <w:rPr>
          <w:b/>
        </w:rPr>
        <w:t>III. HAFTA</w:t>
      </w:r>
    </w:p>
    <w:p w14:paraId="40D3F717" w14:textId="77777777" w:rsidR="00121786" w:rsidRDefault="00121786" w:rsidP="00121786">
      <w:pPr>
        <w:tabs>
          <w:tab w:val="left" w:pos="360"/>
          <w:tab w:val="left" w:pos="567"/>
          <w:tab w:val="left" w:pos="993"/>
        </w:tabs>
        <w:ind w:right="-1"/>
        <w:jc w:val="center"/>
        <w:rPr>
          <w:b/>
        </w:rPr>
      </w:pPr>
    </w:p>
    <w:p w14:paraId="1EBAF224" w14:textId="77777777" w:rsidR="00121786" w:rsidRPr="00216A8A" w:rsidRDefault="00121786" w:rsidP="00121786">
      <w:pPr>
        <w:tabs>
          <w:tab w:val="left" w:pos="360"/>
          <w:tab w:val="left" w:pos="567"/>
          <w:tab w:val="left" w:pos="993"/>
        </w:tabs>
        <w:ind w:right="-1"/>
        <w:jc w:val="center"/>
        <w:rPr>
          <w:b/>
        </w:rPr>
      </w:pPr>
      <w:r>
        <w:rPr>
          <w:b/>
        </w:rPr>
        <w:t xml:space="preserve"> </w:t>
      </w:r>
      <w:r w:rsidRPr="00216A8A">
        <w:rPr>
          <w:b/>
        </w:rPr>
        <w:t>İKİNCİ BÖLÜM</w:t>
      </w:r>
    </w:p>
    <w:p w14:paraId="04E81F2E" w14:textId="77777777" w:rsidR="00121786" w:rsidRPr="00216A8A" w:rsidRDefault="00121786" w:rsidP="00121786">
      <w:pPr>
        <w:tabs>
          <w:tab w:val="left" w:pos="360"/>
          <w:tab w:val="left" w:pos="567"/>
          <w:tab w:val="left" w:pos="993"/>
        </w:tabs>
        <w:ind w:right="-1"/>
        <w:jc w:val="center"/>
        <w:rPr>
          <w:b/>
        </w:rPr>
      </w:pPr>
      <w:r w:rsidRPr="00216A8A">
        <w:rPr>
          <w:b/>
        </w:rPr>
        <w:t>DENİZ KİRLİLİĞİNİN ÖNLENMESİ</w:t>
      </w:r>
    </w:p>
    <w:p w14:paraId="5800E1DB" w14:textId="77777777" w:rsidR="00121786" w:rsidRPr="00EB07F2" w:rsidRDefault="00121786" w:rsidP="00121786">
      <w:pPr>
        <w:pStyle w:val="BodyTextIndent"/>
        <w:tabs>
          <w:tab w:val="left" w:pos="990"/>
        </w:tabs>
        <w:spacing w:before="240" w:line="360" w:lineRule="auto"/>
        <w:ind w:right="-1" w:firstLine="720"/>
        <w:rPr>
          <w:b/>
        </w:rPr>
      </w:pPr>
      <w:r w:rsidRPr="00EB07F2">
        <w:rPr>
          <w:b/>
        </w:rPr>
        <w:t>I. İÇ HUKUKTA</w:t>
      </w:r>
    </w:p>
    <w:p w14:paraId="34E5669A" w14:textId="77777777" w:rsidR="00121786" w:rsidRDefault="00121786" w:rsidP="00121786">
      <w:pPr>
        <w:pStyle w:val="BodyTextIndent"/>
        <w:tabs>
          <w:tab w:val="left" w:pos="990"/>
        </w:tabs>
        <w:spacing w:before="240" w:line="360" w:lineRule="auto"/>
        <w:ind w:right="-1" w:firstLine="720"/>
      </w:pPr>
      <w:r>
        <w:t xml:space="preserve">Deniz kirliliği hukuku da dâhil olmak üzere Çevre hukukunun anayasal dayanağı, </w:t>
      </w:r>
      <w:r w:rsidRPr="00D45D47">
        <w:rPr>
          <w:b/>
        </w:rPr>
        <w:t>1982 Anayasası’nın (AY) 56(1) ve (2). maddesinde</w:t>
      </w:r>
      <w:r>
        <w:t xml:space="preserve"> yer almaktadır. Bu maddede aynen; </w:t>
      </w:r>
    </w:p>
    <w:p w14:paraId="5F9DE5D4" w14:textId="77777777" w:rsidR="00121786" w:rsidRDefault="00121786" w:rsidP="00121786">
      <w:pPr>
        <w:pStyle w:val="BodyTextIndent"/>
        <w:tabs>
          <w:tab w:val="left" w:pos="990"/>
        </w:tabs>
        <w:spacing w:before="240" w:after="100" w:afterAutospacing="1"/>
        <w:ind w:left="709" w:right="566" w:firstLine="11"/>
        <w:contextualSpacing/>
        <w:rPr>
          <w:sz w:val="22"/>
          <w:szCs w:val="22"/>
        </w:rPr>
      </w:pPr>
      <w:r w:rsidRPr="00D45D47">
        <w:rPr>
          <w:sz w:val="22"/>
          <w:szCs w:val="22"/>
        </w:rPr>
        <w:t xml:space="preserve">“Herkes, sağlıklı ve dengeli bir çevrede yaşama hakkına sahiptir. </w:t>
      </w:r>
    </w:p>
    <w:p w14:paraId="4786E595" w14:textId="77777777" w:rsidR="00121786" w:rsidRPr="00D45D47" w:rsidRDefault="00121786" w:rsidP="00121786">
      <w:pPr>
        <w:pStyle w:val="BodyTextIndent"/>
        <w:tabs>
          <w:tab w:val="left" w:pos="990"/>
        </w:tabs>
        <w:spacing w:before="240" w:after="100" w:afterAutospacing="1"/>
        <w:ind w:left="709" w:right="566" w:firstLine="11"/>
        <w:rPr>
          <w:sz w:val="22"/>
          <w:szCs w:val="22"/>
        </w:rPr>
      </w:pPr>
      <w:r w:rsidRPr="00D45D47">
        <w:rPr>
          <w:sz w:val="22"/>
          <w:szCs w:val="22"/>
        </w:rPr>
        <w:t xml:space="preserve">Çevreyi geliştirmek, çevre sağlığını korumak ve çevre kirlenmesini önlemek devletin ve vatandaşların ödevidir.” hükmü yer almaktadır. </w:t>
      </w:r>
    </w:p>
    <w:p w14:paraId="1D2270BA" w14:textId="77777777" w:rsidR="00121786" w:rsidRPr="00C82C80" w:rsidRDefault="00121786" w:rsidP="00121786">
      <w:pPr>
        <w:pStyle w:val="BodyTextIndent"/>
        <w:tabs>
          <w:tab w:val="left" w:pos="990"/>
        </w:tabs>
        <w:spacing w:before="240" w:line="360" w:lineRule="auto"/>
        <w:ind w:right="-1" w:firstLine="720"/>
      </w:pPr>
      <w:r>
        <w:t xml:space="preserve">AY’nın bu hükmüne dayanarak çevrenin korunması, çevre kirliliğinin önlenmesi ve en aza indirilmesi amacıyla kabul edilen </w:t>
      </w:r>
      <w:r w:rsidRPr="00F51EC0">
        <w:t>9/8/1983 tarihli ve 2872 sayılı ÇK</w:t>
      </w:r>
      <w:r>
        <w:t>, Türk Hukukundaki en önemli kaynaktır</w:t>
      </w:r>
      <w:r>
        <w:rPr>
          <w:rStyle w:val="FootnoteReference"/>
        </w:rPr>
        <w:footnoteReference w:id="1"/>
      </w:r>
      <w:r>
        <w:t xml:space="preserve">. Bir diğer önemli kanun ise 03/03/2005 tarihli ve 5312 sayılı </w:t>
      </w:r>
      <w:r w:rsidRPr="003238B4">
        <w:t>Deniz Çevresinin Petrol ve Diğer Zararlı Maddelerle Kirlenmesinde Acil Durumlarda Müdahale ve Zararların Tazmini Esaslarına Dair Kanun</w:t>
      </w:r>
      <w:r>
        <w:t>’dur (Müdahale Kanunu)</w:t>
      </w:r>
      <w:r>
        <w:rPr>
          <w:rStyle w:val="FootnoteReference"/>
        </w:rPr>
        <w:footnoteReference w:id="2"/>
      </w:r>
      <w:r>
        <w:t xml:space="preserve">.   </w:t>
      </w:r>
    </w:p>
    <w:p w14:paraId="4D4B631D" w14:textId="77777777" w:rsidR="00121786" w:rsidRDefault="00121786" w:rsidP="00121786">
      <w:pPr>
        <w:pStyle w:val="BodyTextIndent"/>
        <w:tabs>
          <w:tab w:val="left" w:pos="990"/>
        </w:tabs>
        <w:spacing w:before="240" w:after="240" w:line="360" w:lineRule="auto"/>
        <w:ind w:right="-1" w:firstLine="709"/>
      </w:pPr>
      <w:r>
        <w:rPr>
          <w:rFonts w:eastAsiaTheme="minorHAnsi"/>
          <w:color w:val="000000"/>
          <w:lang w:eastAsia="en-US"/>
        </w:rPr>
        <w:t xml:space="preserve">ÇK m. 3’de </w:t>
      </w:r>
      <w:r w:rsidRPr="008D3D0A">
        <w:rPr>
          <w:rFonts w:eastAsiaTheme="minorHAnsi"/>
          <w:color w:val="000000"/>
          <w:lang w:eastAsia="en-US"/>
        </w:rPr>
        <w:t xml:space="preserve">çevrenin korunmasına, </w:t>
      </w:r>
      <w:r w:rsidRPr="008D3D0A">
        <w:t xml:space="preserve">iyileştirilmesine ve kirliliğinin önlenmesine ilişkin genel ilkeler </w:t>
      </w:r>
      <w:r>
        <w:t>gösterilmiştir.</w:t>
      </w:r>
    </w:p>
    <w:p w14:paraId="60263DAE" w14:textId="77777777" w:rsidR="00121786" w:rsidRPr="00B555B9" w:rsidRDefault="00121786" w:rsidP="00121786">
      <w:pPr>
        <w:autoSpaceDE w:val="0"/>
        <w:autoSpaceDN w:val="0"/>
        <w:adjustRightInd w:val="0"/>
        <w:spacing w:after="240" w:line="360" w:lineRule="auto"/>
        <w:ind w:left="709" w:right="566"/>
        <w:jc w:val="both"/>
        <w:rPr>
          <w:rFonts w:eastAsiaTheme="minorHAnsi"/>
          <w:b/>
          <w:iCs/>
          <w:color w:val="000000"/>
          <w:lang w:eastAsia="en-US"/>
        </w:rPr>
      </w:pPr>
      <w:r w:rsidRPr="00B555B9">
        <w:rPr>
          <w:rFonts w:eastAsiaTheme="minorHAnsi"/>
          <w:b/>
          <w:iCs/>
          <w:color w:val="000000"/>
          <w:lang w:eastAsia="en-US"/>
        </w:rPr>
        <w:t xml:space="preserve">Kirletme </w:t>
      </w:r>
      <w:r>
        <w:rPr>
          <w:rFonts w:eastAsiaTheme="minorHAnsi"/>
          <w:b/>
          <w:iCs/>
          <w:color w:val="000000"/>
          <w:lang w:eastAsia="en-US"/>
        </w:rPr>
        <w:t>Y</w:t>
      </w:r>
      <w:r w:rsidRPr="00B555B9">
        <w:rPr>
          <w:rFonts w:eastAsiaTheme="minorHAnsi"/>
          <w:b/>
          <w:iCs/>
          <w:color w:val="000000"/>
          <w:lang w:eastAsia="en-US"/>
        </w:rPr>
        <w:t>asağı</w:t>
      </w:r>
      <w:r>
        <w:rPr>
          <w:rFonts w:eastAsiaTheme="minorHAnsi"/>
          <w:b/>
          <w:iCs/>
          <w:color w:val="000000"/>
          <w:lang w:eastAsia="en-US"/>
        </w:rPr>
        <w:t xml:space="preserve"> İlkesi (m. </w:t>
      </w:r>
      <w:r w:rsidRPr="00B555B9">
        <w:rPr>
          <w:rFonts w:eastAsiaTheme="minorHAnsi"/>
          <w:b/>
          <w:iCs/>
          <w:color w:val="000000"/>
          <w:lang w:eastAsia="en-US"/>
        </w:rPr>
        <w:t>8</w:t>
      </w:r>
      <w:r>
        <w:rPr>
          <w:rFonts w:eastAsiaTheme="minorHAnsi"/>
          <w:b/>
          <w:iCs/>
          <w:color w:val="000000"/>
          <w:lang w:eastAsia="en-US"/>
        </w:rPr>
        <w:t>)</w:t>
      </w:r>
    </w:p>
    <w:p w14:paraId="36191680" w14:textId="77777777" w:rsidR="00121786" w:rsidRPr="00D45D47"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D45D47">
        <w:rPr>
          <w:rFonts w:eastAsiaTheme="minorHAnsi"/>
          <w:color w:val="000000"/>
          <w:sz w:val="22"/>
          <w:szCs w:val="22"/>
          <w:lang w:eastAsia="en-US"/>
        </w:rPr>
        <w:t xml:space="preserve">“Her türlü atık ve artığı, çevreye zarar verecek şekilde, ilgili yönetmeliklerde belirlenen standartlara ve yöntemlere aykırı olarak doğrudan ve dolaylı biçimde alıcı ortama vermek, depolamak, taşımak, uzaklaştırmak ve benzeri faaliyetlerde bulunmak yasaktır. </w:t>
      </w:r>
    </w:p>
    <w:p w14:paraId="7B81019D" w14:textId="77777777" w:rsidR="00121786" w:rsidRPr="00D45D47" w:rsidRDefault="00121786" w:rsidP="00121786">
      <w:pPr>
        <w:pStyle w:val="BodyTextIndent"/>
        <w:tabs>
          <w:tab w:val="left" w:pos="990"/>
        </w:tabs>
        <w:spacing w:before="240" w:after="240" w:line="360" w:lineRule="auto"/>
        <w:ind w:left="709" w:right="566" w:firstLine="0"/>
        <w:rPr>
          <w:rFonts w:eastAsiaTheme="minorHAnsi"/>
          <w:color w:val="000000"/>
          <w:sz w:val="22"/>
          <w:szCs w:val="22"/>
          <w:lang w:eastAsia="en-US"/>
        </w:rPr>
      </w:pPr>
      <w:r w:rsidRPr="00D45D47">
        <w:rPr>
          <w:rFonts w:eastAsiaTheme="minorHAnsi"/>
          <w:color w:val="000000"/>
          <w:sz w:val="22"/>
          <w:szCs w:val="22"/>
          <w:lang w:eastAsia="en-US"/>
        </w:rPr>
        <w:t>Kirlenme ihtimalinin bulunduğu durumlarda ilgililer kirlenmeyi önlemekle; kirlenmenin meydana geldiği hallerde kirleten, kirlenmeyi durdurmak, kirlenmenin etkilerini gidermek veya azaltmak için gerekli tedbirleri almakla yükümlüdürler”. hükmü yer almaktadır.</w:t>
      </w:r>
    </w:p>
    <w:p w14:paraId="1F27F16D" w14:textId="77777777" w:rsidR="00121786" w:rsidRDefault="00121786" w:rsidP="00121786">
      <w:pPr>
        <w:pStyle w:val="BodyTextIndent"/>
        <w:tabs>
          <w:tab w:val="left" w:pos="990"/>
        </w:tabs>
        <w:spacing w:before="240" w:after="240" w:line="360" w:lineRule="auto"/>
        <w:ind w:right="-1" w:firstLine="709"/>
        <w:rPr>
          <w:rFonts w:eastAsiaTheme="minorHAnsi"/>
          <w:b/>
          <w:color w:val="000000"/>
          <w:lang w:eastAsia="en-US"/>
        </w:rPr>
      </w:pPr>
      <w:r w:rsidRPr="00D45D47">
        <w:rPr>
          <w:rFonts w:eastAsiaTheme="minorHAnsi"/>
          <w:b/>
          <w:color w:val="000000"/>
          <w:lang w:eastAsia="en-US"/>
        </w:rPr>
        <w:t xml:space="preserve">Çevrenin </w:t>
      </w:r>
      <w:r>
        <w:rPr>
          <w:rFonts w:eastAsiaTheme="minorHAnsi"/>
          <w:b/>
          <w:color w:val="000000"/>
          <w:lang w:eastAsia="en-US"/>
        </w:rPr>
        <w:t>K</w:t>
      </w:r>
      <w:r w:rsidRPr="00D45D47">
        <w:rPr>
          <w:rFonts w:eastAsiaTheme="minorHAnsi"/>
          <w:b/>
          <w:color w:val="000000"/>
          <w:lang w:eastAsia="en-US"/>
        </w:rPr>
        <w:t>orunması</w:t>
      </w:r>
      <w:r>
        <w:rPr>
          <w:rFonts w:eastAsiaTheme="minorHAnsi"/>
          <w:b/>
          <w:color w:val="000000"/>
          <w:lang w:eastAsia="en-US"/>
        </w:rPr>
        <w:t xml:space="preserve"> İlkesi (</w:t>
      </w:r>
      <w:r w:rsidRPr="00D45D47">
        <w:rPr>
          <w:rFonts w:eastAsiaTheme="minorHAnsi"/>
          <w:b/>
          <w:color w:val="000000"/>
          <w:lang w:eastAsia="en-US"/>
        </w:rPr>
        <w:t>m. 9</w:t>
      </w:r>
      <w:r>
        <w:rPr>
          <w:rFonts w:eastAsiaTheme="minorHAnsi"/>
          <w:b/>
          <w:color w:val="000000"/>
          <w:lang w:eastAsia="en-US"/>
        </w:rPr>
        <w:t>)</w:t>
      </w:r>
    </w:p>
    <w:p w14:paraId="5A65B325" w14:textId="77777777" w:rsidR="00121786" w:rsidRDefault="00121786" w:rsidP="00121786">
      <w:pPr>
        <w:pStyle w:val="BodyTextIndent"/>
        <w:tabs>
          <w:tab w:val="left" w:pos="990"/>
        </w:tabs>
        <w:spacing w:before="240" w:after="240" w:line="360" w:lineRule="auto"/>
        <w:ind w:right="-1" w:firstLine="709"/>
        <w:rPr>
          <w:rFonts w:eastAsiaTheme="minorHAnsi"/>
          <w:color w:val="000000"/>
          <w:lang w:eastAsia="en-US"/>
        </w:rPr>
      </w:pPr>
      <w:r>
        <w:rPr>
          <w:rFonts w:eastAsiaTheme="minorHAnsi"/>
          <w:color w:val="000000"/>
          <w:lang w:eastAsia="en-US"/>
        </w:rPr>
        <w:lastRenderedPageBreak/>
        <w:t xml:space="preserve">Çevrenin korunması amacıyla yapılacakları somut bir şekilde ve ayrıntılı olarak ortaya koymaktadır. </w:t>
      </w:r>
    </w:p>
    <w:p w14:paraId="0A967666" w14:textId="77777777" w:rsidR="00121786" w:rsidRPr="00D45D47" w:rsidRDefault="00121786" w:rsidP="00121786">
      <w:pPr>
        <w:pStyle w:val="BodyTextIndent"/>
        <w:tabs>
          <w:tab w:val="left" w:pos="990"/>
        </w:tabs>
        <w:spacing w:before="240" w:after="240" w:line="360" w:lineRule="auto"/>
        <w:ind w:right="566" w:firstLine="709"/>
        <w:rPr>
          <w:rFonts w:eastAsiaTheme="minorHAnsi"/>
          <w:b/>
          <w:color w:val="000000"/>
          <w:lang w:eastAsia="en-US"/>
        </w:rPr>
      </w:pPr>
      <w:r w:rsidRPr="00D45D47">
        <w:rPr>
          <w:b/>
          <w:iCs/>
        </w:rPr>
        <w:t>“İzin alma, arıtma ve bertaraf etme yükümlülüğü” başlı</w:t>
      </w:r>
      <w:r>
        <w:rPr>
          <w:b/>
          <w:iCs/>
        </w:rPr>
        <w:t xml:space="preserve">klı </w:t>
      </w:r>
      <w:r w:rsidRPr="00D45D47">
        <w:rPr>
          <w:rFonts w:eastAsiaTheme="minorHAnsi"/>
          <w:b/>
          <w:color w:val="000000"/>
          <w:lang w:eastAsia="en-US"/>
        </w:rPr>
        <w:t>m. 11/1’de;</w:t>
      </w:r>
    </w:p>
    <w:p w14:paraId="4948E65E" w14:textId="77777777" w:rsidR="00121786" w:rsidRDefault="00121786" w:rsidP="00121786">
      <w:pPr>
        <w:pStyle w:val="BodyTextIndent"/>
        <w:tabs>
          <w:tab w:val="left" w:pos="990"/>
        </w:tabs>
        <w:spacing w:before="240" w:after="240" w:line="360" w:lineRule="auto"/>
        <w:ind w:left="709" w:right="566" w:firstLine="0"/>
      </w:pPr>
      <w:r w:rsidRPr="00D45D47">
        <w:rPr>
          <w:rFonts w:eastAsiaTheme="minorHAnsi"/>
          <w:color w:val="000000"/>
          <w:sz w:val="22"/>
          <w:szCs w:val="22"/>
          <w:lang w:eastAsia="en-US"/>
        </w:rPr>
        <w:t>“</w:t>
      </w:r>
      <w:r w:rsidRPr="00D45D47">
        <w:rPr>
          <w:sz w:val="22"/>
          <w:szCs w:val="22"/>
        </w:rPr>
        <w:t>Üretim, tüketim ve hizmet faaliyetleri sonucunda oluşan atıklarını alıcı ortamlara doğrudan veya dolaylı vermeleri uygun görülmeyen tesis ve işletmeler ile yerleşim birimleri atıklarını yönetmeliklerde belirlenen standart ve yöntemlere uygun olarak arıtmak ve bertaraf etmekle veya ettirmekle ve öngörülen izinleri almakla yükümlüdürler”</w:t>
      </w:r>
      <w:r>
        <w:t xml:space="preserve"> hükmü yer almaktadır. </w:t>
      </w:r>
    </w:p>
    <w:p w14:paraId="0CBA90A6" w14:textId="77777777" w:rsidR="00121786" w:rsidRDefault="00121786" w:rsidP="00121786">
      <w:pPr>
        <w:pStyle w:val="BodyTextIndent"/>
        <w:tabs>
          <w:tab w:val="left" w:pos="990"/>
        </w:tabs>
        <w:spacing w:before="240" w:after="240" w:line="360" w:lineRule="auto"/>
        <w:ind w:right="566" w:firstLine="709"/>
        <w:rPr>
          <w:rFonts w:eastAsiaTheme="minorHAnsi"/>
          <w:b/>
          <w:bCs/>
          <w:color w:val="000000"/>
          <w:lang w:eastAsia="en-US"/>
        </w:rPr>
      </w:pPr>
      <w:r>
        <w:rPr>
          <w:rFonts w:eastAsiaTheme="minorHAnsi"/>
          <w:b/>
          <w:bCs/>
          <w:color w:val="000000"/>
          <w:lang w:eastAsia="en-US"/>
        </w:rPr>
        <w:t xml:space="preserve">m. </w:t>
      </w:r>
      <w:r w:rsidRPr="00091385">
        <w:rPr>
          <w:rFonts w:eastAsiaTheme="minorHAnsi"/>
          <w:b/>
          <w:bCs/>
          <w:color w:val="000000"/>
          <w:lang w:eastAsia="en-US"/>
        </w:rPr>
        <w:t xml:space="preserve">11/son </w:t>
      </w:r>
      <w:r>
        <w:rPr>
          <w:rFonts w:eastAsiaTheme="minorHAnsi"/>
          <w:b/>
          <w:bCs/>
          <w:color w:val="000000"/>
          <w:lang w:eastAsia="en-US"/>
        </w:rPr>
        <w:t xml:space="preserve">fıkrada; </w:t>
      </w:r>
    </w:p>
    <w:p w14:paraId="6C4BE461" w14:textId="77777777" w:rsidR="00121786" w:rsidRPr="008A4236" w:rsidRDefault="00121786" w:rsidP="00121786">
      <w:pPr>
        <w:pStyle w:val="BodyTextIndent"/>
        <w:tabs>
          <w:tab w:val="left" w:pos="990"/>
        </w:tabs>
        <w:spacing w:before="240" w:after="240" w:line="360" w:lineRule="auto"/>
        <w:ind w:left="709" w:right="566" w:firstLine="0"/>
        <w:rPr>
          <w:sz w:val="22"/>
          <w:szCs w:val="22"/>
        </w:rPr>
      </w:pPr>
      <w:r w:rsidRPr="00D45D47">
        <w:rPr>
          <w:sz w:val="22"/>
          <w:szCs w:val="22"/>
        </w:rPr>
        <w:t xml:space="preserve">“Liman, tersane, gemi bakım-onarım, gemi söküm, marina gibi kıyı tesisleri; kendi tesislerinde ve gemi ve diğer deniz araçlarında oluşan petrollü, yağlı katı atıklar ve sintine, kirli balast, slaç, slop gibi sıvı atıklar ile evsel atıksu ve katı atıkların alınması, depolanması, taşınması </w:t>
      </w:r>
      <w:r w:rsidRPr="008A4236">
        <w:rPr>
          <w:sz w:val="22"/>
          <w:szCs w:val="22"/>
        </w:rPr>
        <w:t xml:space="preserve">ve bertarafı ile ilgili işlemleri ve tesisleri yapmak veya yaptırmakla yükümlüdürler. Buna ilişkin usûl ve esaslar Bakanlıkça çıkarılacak yönetmelikle belirlenir” hükmü yer almaktadır. </w:t>
      </w:r>
    </w:p>
    <w:p w14:paraId="3685404B" w14:textId="77777777" w:rsidR="00121786" w:rsidRDefault="00121786" w:rsidP="00121786">
      <w:pPr>
        <w:autoSpaceDE w:val="0"/>
        <w:autoSpaceDN w:val="0"/>
        <w:adjustRightInd w:val="0"/>
        <w:spacing w:after="240" w:line="360" w:lineRule="auto"/>
        <w:ind w:right="566" w:firstLine="709"/>
        <w:jc w:val="both"/>
        <w:rPr>
          <w:rFonts w:eastAsiaTheme="minorHAnsi"/>
          <w:iCs/>
          <w:color w:val="000000"/>
          <w:lang w:eastAsia="en-US"/>
        </w:rPr>
      </w:pPr>
      <w:r w:rsidRPr="00B555B9">
        <w:rPr>
          <w:rFonts w:eastAsiaTheme="minorHAnsi"/>
          <w:b/>
          <w:iCs/>
          <w:color w:val="000000"/>
          <w:lang w:eastAsia="en-US"/>
        </w:rPr>
        <w:t>Tehlikeli kimyasallar ve atıklar başlıklı m. 13/1’de;</w:t>
      </w:r>
      <w:r>
        <w:rPr>
          <w:rFonts w:eastAsiaTheme="minorHAnsi"/>
          <w:iCs/>
          <w:color w:val="000000"/>
          <w:lang w:eastAsia="en-US"/>
        </w:rPr>
        <w:t xml:space="preserve"> </w:t>
      </w:r>
    </w:p>
    <w:p w14:paraId="31005C2E" w14:textId="77777777" w:rsidR="00121786" w:rsidRDefault="00121786" w:rsidP="00121786">
      <w:pPr>
        <w:autoSpaceDE w:val="0"/>
        <w:autoSpaceDN w:val="0"/>
        <w:adjustRightInd w:val="0"/>
        <w:spacing w:after="240" w:line="360" w:lineRule="auto"/>
        <w:ind w:left="709" w:right="566"/>
        <w:jc w:val="both"/>
        <w:rPr>
          <w:rFonts w:eastAsiaTheme="minorHAnsi"/>
          <w:color w:val="000000"/>
          <w:lang w:eastAsia="en-US"/>
        </w:rPr>
      </w:pPr>
      <w:r w:rsidRPr="00B555B9">
        <w:rPr>
          <w:rFonts w:eastAsiaTheme="minorHAnsi"/>
          <w:iCs/>
          <w:color w:val="000000"/>
          <w:sz w:val="22"/>
          <w:szCs w:val="22"/>
          <w:lang w:eastAsia="en-US"/>
        </w:rPr>
        <w:t>“</w:t>
      </w:r>
      <w:r w:rsidRPr="00B555B9">
        <w:rPr>
          <w:rFonts w:eastAsiaTheme="minorHAnsi"/>
          <w:color w:val="000000"/>
          <w:sz w:val="22"/>
          <w:szCs w:val="22"/>
          <w:lang w:eastAsia="en-US"/>
        </w:rPr>
        <w:t xml:space="preserve">Tehlikeli kimyasalların belirlenmesi, üretimi, ithalatı, atık konumuna gelinceye kadar geçen süreçte kullanım alanları ve miktarları, etiketlenmesi, ambalajlanması, sınıflandırılması, depolanması, risk değerlendirilmesi, taşınması ile ihracatına ilişkin usûl ve esaslar ilgili </w:t>
      </w:r>
      <w:r w:rsidRPr="008A4236">
        <w:rPr>
          <w:rFonts w:eastAsiaTheme="minorHAnsi"/>
          <w:color w:val="000000"/>
          <w:sz w:val="22"/>
          <w:szCs w:val="22"/>
          <w:lang w:eastAsia="en-US"/>
        </w:rPr>
        <w:t>kurum ve kuruluşların görüşleri alınarak Bakanlıkça çıkarılacak yönetmelikle belirlenir” hükmü yer almaktadır.</w:t>
      </w:r>
    </w:p>
    <w:p w14:paraId="75DD2FDE" w14:textId="77777777" w:rsidR="00121786" w:rsidRDefault="00121786" w:rsidP="00121786">
      <w:pPr>
        <w:autoSpaceDE w:val="0"/>
        <w:autoSpaceDN w:val="0"/>
        <w:adjustRightInd w:val="0"/>
        <w:spacing w:after="240" w:line="360" w:lineRule="auto"/>
        <w:ind w:right="-1" w:firstLine="709"/>
        <w:jc w:val="both"/>
        <w:rPr>
          <w:rFonts w:eastAsiaTheme="minorHAnsi"/>
          <w:iCs/>
          <w:color w:val="000000"/>
          <w:lang w:eastAsia="en-US"/>
        </w:rPr>
      </w:pPr>
      <w:r>
        <w:rPr>
          <w:rFonts w:eastAsiaTheme="minorHAnsi"/>
          <w:iCs/>
          <w:color w:val="000000"/>
          <w:lang w:eastAsia="en-US"/>
        </w:rPr>
        <w:t xml:space="preserve">Faaliyetlerin durdurulması başlıklı m. 15’de; ÇK ve ilgili yönetmelik hükümlerine aykırı davranılması halinde Bakanlık ve denetim yetkisinin devredildiği kurum ve kuruluşlarca söz konusu faaliyetin durdurulacağı düzenlenmiştir. </w:t>
      </w:r>
    </w:p>
    <w:p w14:paraId="41824BB6" w14:textId="77777777" w:rsidR="00121786" w:rsidRDefault="00121786" w:rsidP="00121786">
      <w:pPr>
        <w:autoSpaceDE w:val="0"/>
        <w:autoSpaceDN w:val="0"/>
        <w:adjustRightInd w:val="0"/>
        <w:spacing w:after="240" w:line="360" w:lineRule="auto"/>
        <w:ind w:right="-1" w:firstLine="709"/>
        <w:jc w:val="both"/>
        <w:rPr>
          <w:rFonts w:eastAsiaTheme="minorHAnsi"/>
          <w:b/>
          <w:iCs/>
          <w:color w:val="000000"/>
          <w:lang w:eastAsia="en-US"/>
        </w:rPr>
      </w:pPr>
      <w:r>
        <w:rPr>
          <w:rFonts w:eastAsiaTheme="minorHAnsi"/>
          <w:b/>
          <w:iCs/>
          <w:color w:val="000000"/>
          <w:lang w:eastAsia="en-US"/>
        </w:rPr>
        <w:t>İdari Para Cezaları</w:t>
      </w:r>
    </w:p>
    <w:p w14:paraId="3E9F6CE5" w14:textId="77777777" w:rsidR="00121786" w:rsidRPr="00B555B9" w:rsidRDefault="00121786" w:rsidP="00121786">
      <w:pPr>
        <w:autoSpaceDE w:val="0"/>
        <w:autoSpaceDN w:val="0"/>
        <w:adjustRightInd w:val="0"/>
        <w:spacing w:after="240" w:line="360" w:lineRule="auto"/>
        <w:ind w:right="-1" w:firstLine="709"/>
        <w:jc w:val="both"/>
        <w:rPr>
          <w:rFonts w:eastAsiaTheme="minorHAnsi"/>
          <w:b/>
          <w:bCs/>
          <w:color w:val="000000"/>
          <w:sz w:val="16"/>
          <w:szCs w:val="16"/>
          <w:lang w:eastAsia="en-US"/>
        </w:rPr>
      </w:pPr>
      <w:r w:rsidRPr="00F427E8">
        <w:rPr>
          <w:rFonts w:eastAsiaTheme="minorHAnsi"/>
          <w:b/>
          <w:iCs/>
          <w:color w:val="000000"/>
          <w:lang w:eastAsia="en-US"/>
        </w:rPr>
        <w:t>İdari nitelikteki cezalar başlıklı m. 20</w:t>
      </w:r>
      <w:r>
        <w:rPr>
          <w:rFonts w:eastAsiaTheme="minorHAnsi"/>
          <w:b/>
          <w:iCs/>
          <w:color w:val="000000"/>
          <w:lang w:eastAsia="en-US"/>
        </w:rPr>
        <w:t>;</w:t>
      </w:r>
      <w:r>
        <w:rPr>
          <w:rFonts w:eastAsiaTheme="minorHAnsi"/>
          <w:iCs/>
          <w:color w:val="000000"/>
          <w:lang w:eastAsia="en-US"/>
        </w:rPr>
        <w:t xml:space="preserve"> Kanunun ilgili hükümlerine aykırı davranılmasında verilecek idari para cezalarına ilişkin hükümler ihtiva etmektedir. Bu hükümler arasında gemi ve deniz araçları bakımından öngörülen özel idari para cezaları dikkati çekmektedir: </w:t>
      </w:r>
      <w:r w:rsidRPr="00B555B9">
        <w:rPr>
          <w:rFonts w:eastAsiaTheme="minorHAnsi"/>
          <w:b/>
          <w:bCs/>
          <w:color w:val="000000"/>
          <w:sz w:val="16"/>
          <w:szCs w:val="16"/>
          <w:lang w:eastAsia="en-US"/>
        </w:rPr>
        <w:t xml:space="preserve"> </w:t>
      </w:r>
    </w:p>
    <w:p w14:paraId="052156A0"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Pr>
          <w:rFonts w:eastAsiaTheme="minorHAnsi"/>
          <w:color w:val="000000"/>
          <w:sz w:val="22"/>
          <w:szCs w:val="22"/>
          <w:lang w:eastAsia="en-US"/>
        </w:rPr>
        <w:t>“</w:t>
      </w:r>
      <w:r w:rsidRPr="00F427E8">
        <w:rPr>
          <w:rFonts w:eastAsiaTheme="minorHAnsi"/>
          <w:color w:val="000000"/>
          <w:sz w:val="22"/>
          <w:szCs w:val="22"/>
          <w:lang w:eastAsia="en-US"/>
        </w:rPr>
        <w:t xml:space="preserve">ı) Bu Kanunda öngörülen yasaklara ve sınırlamalara aykırı olarak ülkenin egemenlik alanlarındaki denizlerde ve yargılama yetkisine tâbi olan deniz yetki alanlarında ve bunlarla bağlantılı sularda, tabiî veya sunî göller ve baraj gölleri ile akarsularda; </w:t>
      </w:r>
    </w:p>
    <w:p w14:paraId="6B04EBE6"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1) Petrol ve petrol türevleri (ham petrol, akaryakıt, sintine, slaç, slop, rafine ürün, yağlı atık vb.) tahliyesi veya deşarjı yapan tankerlerden, bin (dahil) gros tona kadar olanlar için gros ton başına 40 Türk Lirası, bin ilâ beşbin (dahil) gros ton arasında olanlara, bu miktar ve ilave her gros ton başına 10 Türk Lirası, beşbin gros tondan fazla olanlara ise, yukarıdaki miktarlar ve ilave her gros ton başına 100 Kuruş, </w:t>
      </w:r>
    </w:p>
    <w:p w14:paraId="36DAC41A"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2) Kirli balast tahliyesi yapan tankerlerden bin (dahil) gros tona kadar olanlar için gros ton başına 30 Türk Lirası, bin ilâ beşbin (dahil) gros ton arasında olanlara bu miktar ve ilave her gros ton başına 6 Türk Lirası, beşbin gros tondan fazla olanlara ise, yukarıdaki miktarlar ve ilave her gros ton başına 100 Kuruş, </w:t>
      </w:r>
    </w:p>
    <w:p w14:paraId="01A1E281"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3) Petrol türevleri (sintine, slaç, slop, akaryakıt, yağlı atık vb.) veya kirli balast tahliyesi yapan gemi ve diğer deniz vasıtalarından bin gros tona kadar olanlar için gros ton başına 20 Türk Lirası, bin ilâ beşbin (dahil) gros ton arasında olanlara bu miktar ve ilave her gros ton başına 4 Türk Lirası, beşbin gros tondan fazla olanlara ise, yukarıdaki miktarlar ve ilave her gros ton başına 100 Kuruş, </w:t>
      </w:r>
    </w:p>
    <w:p w14:paraId="3A7B2629"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4) Katı atık bırakan veya evsel atıksu deşarjı yapan tanker, gemi ve diğer deniz araçlarından bin (dahil) gros tona kadar olanlar için gros ton başına 10 Türk Lirası, bin ilâ beşbin (dahil) gros ton arasında olanlara bu miktar ve ilave her gros ton başına 2 Türk Lirası, beşbin gros tondan fazla olanlara ise, yukarıdaki miktarlar ve ilave her gros ton başına 40 Kuruş, </w:t>
      </w:r>
    </w:p>
    <w:p w14:paraId="2173CEAF"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Pr>
          <w:rFonts w:eastAsiaTheme="minorHAnsi"/>
          <w:color w:val="000000"/>
          <w:sz w:val="22"/>
          <w:szCs w:val="22"/>
          <w:lang w:eastAsia="en-US"/>
        </w:rPr>
        <w:t>idarî para cezası verilir”.</w:t>
      </w:r>
      <w:r w:rsidRPr="00F427E8">
        <w:rPr>
          <w:rFonts w:eastAsiaTheme="minorHAnsi"/>
          <w:color w:val="000000"/>
          <w:sz w:val="22"/>
          <w:szCs w:val="22"/>
          <w:lang w:eastAsia="en-US"/>
        </w:rPr>
        <w:t xml:space="preserve"> </w:t>
      </w:r>
    </w:p>
    <w:p w14:paraId="72CCE211"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Tehlikeli madde ve atıkların deşarjı durumunda uygulanacak idarî para cezaları, petrol ve türevleri kategorisi esas alınarak on katı verilir. </w:t>
      </w:r>
    </w:p>
    <w:p w14:paraId="3909A5DB"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Kirliliğin oluşmasını müteakip gemi veya deniz aracının kendi imkânları ile neden olduğu kirliliği giderdiğinin tespit edilmesi durumunda, idarî para cezası 1/3 oranında uygulanır. </w:t>
      </w:r>
    </w:p>
    <w:p w14:paraId="422C89D1"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Cezanın derhal ve defaten ödenmemesi veya bu hususta yeterli teminat gösterilmemesi halinde, gemiler ve götürülebilen diğer deniz vasıtaları en yakın liman yetkilisine teslim edilerek seyrüseferden ve faaliyetten men edilir. Banka teminat mektubu veya geminin bağlı olduğu kulüp sigortacısı tarafından düzenlenecek teminat mektubu teminat olarak kabul edilir. </w:t>
      </w:r>
    </w:p>
    <w:p w14:paraId="41AFE6CD"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Yabancı devlet egemenliği altındaki sularda bu devletlerin mevzuatının Türk bayraklı gemiler tarafından ihlali durumunda, ilgili devletin ceza uygulamaması ve Türkiye'nin cezalandırmasını talep etmesi durumunda bu Kanun hükümleri uygulanır. </w:t>
      </w:r>
    </w:p>
    <w:p w14:paraId="14361214"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Bu bendin birinci paragrafı dışında, bu Kanun ve bu Kanun uyarınca çıkarılan yönetmeliklere aykırı olarak ülkenin egemenlik alanındaki denizlere ve yargılama yetkisine tâbi olan deniz yetki alanlarına, içme ve kullanma suyu sağlama amacına yönelik olmayan sulara atık boşaltanlara 24.000 Türk Lirası idarî para cezası verilir. Yukarıda öngörülen fiilin konutlarla ilgili olarak işlenmesi halinde her konut ve bağımsız bölüm için 600 Türk Lirası idarî para cezası verilir. Bu cezai sorumluluk, müstakil konutlarda konutu kullanana, diğer konutlarda ise yöneticiye aittir</w:t>
      </w:r>
      <w:r>
        <w:rPr>
          <w:rFonts w:eastAsiaTheme="minorHAnsi"/>
          <w:color w:val="000000"/>
          <w:sz w:val="22"/>
          <w:szCs w:val="22"/>
          <w:lang w:eastAsia="en-US"/>
        </w:rPr>
        <w:t>”</w:t>
      </w:r>
      <w:r w:rsidRPr="00F427E8">
        <w:rPr>
          <w:rFonts w:eastAsiaTheme="minorHAnsi"/>
          <w:color w:val="000000"/>
          <w:sz w:val="22"/>
          <w:szCs w:val="22"/>
          <w:lang w:eastAsia="en-US"/>
        </w:rPr>
        <w:t>.</w:t>
      </w:r>
    </w:p>
    <w:p w14:paraId="7960474E" w14:textId="77777777" w:rsidR="00121786" w:rsidRPr="0086402A" w:rsidRDefault="00121786" w:rsidP="00121786">
      <w:pPr>
        <w:autoSpaceDE w:val="0"/>
        <w:autoSpaceDN w:val="0"/>
        <w:adjustRightInd w:val="0"/>
        <w:spacing w:after="240" w:line="360" w:lineRule="auto"/>
        <w:ind w:left="709" w:right="566"/>
        <w:jc w:val="both"/>
        <w:rPr>
          <w:rFonts w:eastAsiaTheme="minorHAnsi"/>
          <w:b/>
          <w:color w:val="000000"/>
          <w:lang w:eastAsia="en-US"/>
        </w:rPr>
      </w:pPr>
      <w:r w:rsidRPr="0086402A">
        <w:rPr>
          <w:rFonts w:eastAsiaTheme="minorHAnsi"/>
          <w:b/>
          <w:color w:val="000000"/>
          <w:lang w:eastAsia="en-US"/>
        </w:rPr>
        <w:t xml:space="preserve">“İdari cezalarda yetki” başlıklı m. 24’de; </w:t>
      </w:r>
    </w:p>
    <w:p w14:paraId="7D9C6475"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“Bu Kanunda öngörülen idarî yaptırım kararlarını verme yetkisi Bakanlığa aittir. </w:t>
      </w:r>
    </w:p>
    <w:p w14:paraId="73C6D6B6"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Bu yetki, 12 nci maddenin birinci fıkrası uyarınca denetim yetkisinin devredildiği kurum ve merciler tarafından da kullanılır. </w:t>
      </w:r>
    </w:p>
    <w:p w14:paraId="2E27E7D9"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Bu Kanunda öngörülen idarî yaptırım kararları Bakanlık merkez teşkilâtında genel müdürler, taşra teşkilâtında il çevre ve orman müdürlerince verilir. </w:t>
      </w:r>
    </w:p>
    <w:p w14:paraId="4BF640AE"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Bu Kanunun 12 nci maddesinin birinci fıkrası uyarınca denetim yetkisi verilen kurum ve merciler tarafından verilen idarî para cezalarının yüzde ellisi, bu Kanun uyarınca yapılacak denetimlerle ilgili harcamaları karşılamak ve diğer çevre hizmetlerinde kullanılmak üzere bu kurumların bütçesine gelir kaydedilir, yüzde ellisi ise genel bütçeye gelir kaydedilir. </w:t>
      </w:r>
    </w:p>
    <w:p w14:paraId="411C2CAD"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Bu Kanun uyarınca yapılacak denetimlerle ilgili harcamaları karşılamak ve diğer çevre hizmetlerinde kullanılmak üzere, Bakanlık bütçesine, genel bütçeye gelir kaydedilecek idarî para cezaları karşılığı gerekli ödenek öngörülür”</w:t>
      </w:r>
    </w:p>
    <w:p w14:paraId="70EABE0A" w14:textId="77777777" w:rsidR="00121786" w:rsidRPr="0086402A" w:rsidRDefault="00121786" w:rsidP="00121786">
      <w:pPr>
        <w:autoSpaceDE w:val="0"/>
        <w:autoSpaceDN w:val="0"/>
        <w:adjustRightInd w:val="0"/>
        <w:spacing w:after="240" w:line="360" w:lineRule="auto"/>
        <w:ind w:left="709" w:right="566"/>
        <w:jc w:val="both"/>
        <w:rPr>
          <w:rFonts w:eastAsiaTheme="minorHAnsi"/>
          <w:b/>
          <w:color w:val="000000"/>
          <w:lang w:eastAsia="en-US"/>
        </w:rPr>
      </w:pPr>
      <w:r w:rsidRPr="0086402A">
        <w:rPr>
          <w:rFonts w:eastAsiaTheme="minorHAnsi"/>
          <w:b/>
          <w:iCs/>
          <w:color w:val="000000"/>
          <w:lang w:eastAsia="en-US"/>
        </w:rPr>
        <w:t xml:space="preserve">“İdarî yaptırımların uygulanması, tahsil usûlü ve itiraz” başlıklı m. 25’de;  </w:t>
      </w:r>
    </w:p>
    <w:p w14:paraId="788973A0"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Pr>
          <w:rFonts w:eastAsiaTheme="minorHAnsi"/>
          <w:color w:val="000000"/>
          <w:sz w:val="22"/>
          <w:szCs w:val="22"/>
          <w:lang w:eastAsia="en-US"/>
        </w:rPr>
        <w:t>“</w:t>
      </w:r>
      <w:r w:rsidRPr="00F427E8">
        <w:rPr>
          <w:rFonts w:eastAsiaTheme="minorHAnsi"/>
          <w:color w:val="000000"/>
          <w:sz w:val="22"/>
          <w:szCs w:val="22"/>
          <w:lang w:eastAsia="en-US"/>
        </w:rPr>
        <w:t xml:space="preserve">Bu Kanunda öngörülen idarî yaptırımların uygulanmasını gerektiren fiillerle ilgili olarak yetkili denetleme elemanlarınca bir tutanak tanzim edilir. Bu tutanak denetleme elemanlarının bağlı bulunduğu ve idarî yaptırım kararını vermeye yetkili mercie intikal ettirilir. Bu merci, tutanağı değerlendirerek gerekli idarî yaptırım kararını verir. İdarî yaptırım kararı, 11/2/1959 tarihli ve 7201 sayılı Tebligat Kanunu hükümlerine göre idarî yaptırım kararını veren merci tarafından ilgiliye tebliğ edilir. </w:t>
      </w:r>
    </w:p>
    <w:p w14:paraId="4C25B3D7"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İdarî yaptırım kararlarına karşı tebliğ tarihinden itibaren otuz gün içinde idare mahkemesinde dava açılabilir. Dava açmış olmak idarece verilen cezanın tahsilini durdurmaz. </w:t>
      </w:r>
    </w:p>
    <w:p w14:paraId="5D711C8A"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İdarî para cezalarının tahsil usûlü hakkında 30/3/2005 tarihli ve 5326 sayılı Kabahatler Kanunu hükümleri uygulanır. </w:t>
      </w:r>
    </w:p>
    <w:p w14:paraId="5760C761" w14:textId="77777777" w:rsidR="00121786" w:rsidRPr="00F427E8"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 xml:space="preserve">Ceza vermeye yetkili kurum ve merciler tarafından tahsil edilen idarî para cezaları, Maliye Bakanlığından izin alınarak Bakanlıkça bastırılan ve dağıtılan makbuz karşılığında tahsil edilir. </w:t>
      </w:r>
    </w:p>
    <w:p w14:paraId="36CDA7A2" w14:textId="77777777" w:rsidR="00121786" w:rsidRDefault="00121786" w:rsidP="00121786">
      <w:pPr>
        <w:autoSpaceDE w:val="0"/>
        <w:autoSpaceDN w:val="0"/>
        <w:adjustRightInd w:val="0"/>
        <w:spacing w:after="240" w:line="360" w:lineRule="auto"/>
        <w:ind w:left="709" w:right="566"/>
        <w:jc w:val="both"/>
        <w:rPr>
          <w:rFonts w:eastAsiaTheme="minorHAnsi"/>
          <w:color w:val="000000"/>
          <w:sz w:val="22"/>
          <w:szCs w:val="22"/>
          <w:lang w:eastAsia="en-US"/>
        </w:rPr>
      </w:pPr>
      <w:r w:rsidRPr="00F427E8">
        <w:rPr>
          <w:rFonts w:eastAsiaTheme="minorHAnsi"/>
          <w:color w:val="000000"/>
          <w:sz w:val="22"/>
          <w:szCs w:val="22"/>
          <w:lang w:eastAsia="en-US"/>
        </w:rPr>
        <w:t>Bu Kanuna göre verilecek idarî para cezalarında ihlalin tespiti ve cezanın kesilmesi usûlleri ile ceza uygulamasında kullanılacak makbuzların şekli, dağıtımı ve kontrolüne ilişkin usûl ve esaslar Maliye Bakanlığının görüşü alınarak Bakanlıkça çıkarılacak yönetmelikle belirlenir.</w:t>
      </w:r>
    </w:p>
    <w:p w14:paraId="0AA4D210" w14:textId="77777777" w:rsidR="00121786" w:rsidRDefault="00121786" w:rsidP="00121786">
      <w:pPr>
        <w:spacing w:after="200" w:line="276" w:lineRule="auto"/>
        <w:rPr>
          <w:rFonts w:eastAsiaTheme="minorHAnsi"/>
          <w:color w:val="000000"/>
          <w:sz w:val="22"/>
          <w:szCs w:val="22"/>
          <w:lang w:eastAsia="en-US"/>
        </w:rPr>
      </w:pPr>
      <w:r>
        <w:rPr>
          <w:rFonts w:eastAsiaTheme="minorHAnsi"/>
          <w:color w:val="000000"/>
          <w:sz w:val="22"/>
          <w:szCs w:val="22"/>
          <w:lang w:eastAsia="en-US"/>
        </w:rPr>
        <w:br w:type="page"/>
      </w:r>
    </w:p>
    <w:p w14:paraId="3471D1F3" w14:textId="77777777" w:rsidR="005315EA" w:rsidRDefault="008B7205">
      <w:bookmarkStart w:id="0" w:name="_GoBack"/>
      <w:bookmarkEnd w:id="0"/>
    </w:p>
    <w:sectPr w:rsidR="005315EA" w:rsidSect="00F77B5B">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2E5FD" w14:textId="77777777" w:rsidR="008B7205" w:rsidRDefault="008B7205" w:rsidP="00121786">
      <w:r>
        <w:separator/>
      </w:r>
    </w:p>
  </w:endnote>
  <w:endnote w:type="continuationSeparator" w:id="0">
    <w:p w14:paraId="33C4554A" w14:textId="77777777" w:rsidR="008B7205" w:rsidRDefault="008B7205" w:rsidP="0012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911EC" w14:textId="77777777" w:rsidR="008B7205" w:rsidRDefault="008B7205" w:rsidP="00121786">
      <w:r>
        <w:separator/>
      </w:r>
    </w:p>
  </w:footnote>
  <w:footnote w:type="continuationSeparator" w:id="0">
    <w:p w14:paraId="6FE98D97" w14:textId="77777777" w:rsidR="008B7205" w:rsidRDefault="008B7205" w:rsidP="00121786">
      <w:r>
        <w:continuationSeparator/>
      </w:r>
    </w:p>
  </w:footnote>
  <w:footnote w:id="1">
    <w:p w14:paraId="701B6BFA" w14:textId="77777777" w:rsidR="00121786" w:rsidRDefault="00121786" w:rsidP="00121786">
      <w:pPr>
        <w:pStyle w:val="FootnoteText"/>
        <w:ind w:left="284" w:hanging="284"/>
        <w:jc w:val="both"/>
      </w:pPr>
      <w:r>
        <w:rPr>
          <w:rStyle w:val="FootnoteReference"/>
        </w:rPr>
        <w:footnoteRef/>
      </w:r>
      <w:r>
        <w:t xml:space="preserve"> </w:t>
      </w:r>
      <w:r>
        <w:tab/>
        <w:t xml:space="preserve">ÇK, </w:t>
      </w:r>
      <w:r w:rsidRPr="00F51EC0">
        <w:t>11/8/1983 tarihli ve 18132 sayılı Resmî Gazete’de yayımlanara</w:t>
      </w:r>
      <w:r>
        <w:t>k yürürlüğe girmiştir. Bu Kanun</w:t>
      </w:r>
      <w:r w:rsidRPr="00F51EC0">
        <w:t xml:space="preserve">da 26/4/2006 tarihli </w:t>
      </w:r>
      <w:r w:rsidRPr="002828D2">
        <w:t>ve 5491 sayılı Kanun ile oldukça kapsamlı değişiklikler yapılmıştır.</w:t>
      </w:r>
      <w:r>
        <w:t xml:space="preserve"> </w:t>
      </w:r>
    </w:p>
  </w:footnote>
  <w:footnote w:id="2">
    <w:p w14:paraId="670A508D" w14:textId="77777777" w:rsidR="00121786" w:rsidRDefault="00121786" w:rsidP="00121786">
      <w:pPr>
        <w:pStyle w:val="FootnoteText"/>
        <w:ind w:left="284" w:hanging="284"/>
        <w:jc w:val="both"/>
      </w:pPr>
      <w:r>
        <w:rPr>
          <w:rStyle w:val="FootnoteReference"/>
        </w:rPr>
        <w:footnoteRef/>
      </w:r>
      <w:r>
        <w:t xml:space="preserve"> </w:t>
      </w:r>
      <w:r>
        <w:tab/>
      </w:r>
      <w:r w:rsidRPr="00F51EC0">
        <w:t>3/3/2005 tarihli ve 5312 sayılı Deniz Çevresinin Petrol ve Diğer Zararlı Maddelerle Kirlenmesinde Acil Durumlarda Müdahale ve Zararların Tazmini Esaslarına Dair Kanun, 11/3/2005 tarihli ve 25752 sayılı Resmî Gazete’de yayımlanarak yürürlüğe girmiştir.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BD"/>
    <w:rsid w:val="00121786"/>
    <w:rsid w:val="00397932"/>
    <w:rsid w:val="00403C95"/>
    <w:rsid w:val="0067306D"/>
    <w:rsid w:val="008B7205"/>
    <w:rsid w:val="00F77B5B"/>
    <w:rsid w:val="00FA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E187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1786"/>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121786"/>
    <w:pPr>
      <w:ind w:firstLine="960"/>
      <w:jc w:val="both"/>
    </w:pPr>
  </w:style>
  <w:style w:type="character" w:customStyle="1" w:styleId="BodyTextIndentChar">
    <w:name w:val="Body Text Indent Char"/>
    <w:basedOn w:val="DefaultParagraphFont"/>
    <w:link w:val="BodyTextIndent"/>
    <w:semiHidden/>
    <w:rsid w:val="00121786"/>
    <w:rPr>
      <w:rFonts w:ascii="Times New Roman" w:eastAsia="Times New Roman" w:hAnsi="Times New Roman" w:cs="Times New Roman"/>
      <w:lang w:val="tr-TR" w:eastAsia="tr-TR"/>
    </w:rPr>
  </w:style>
  <w:style w:type="paragraph" w:styleId="FootnoteText">
    <w:name w:val="footnote text"/>
    <w:aliases w:val="Dipnot Metni Char Char Char Char"/>
    <w:basedOn w:val="Normal"/>
    <w:link w:val="FootnoteTextChar"/>
    <w:rsid w:val="00121786"/>
    <w:rPr>
      <w:sz w:val="20"/>
      <w:szCs w:val="20"/>
    </w:rPr>
  </w:style>
  <w:style w:type="character" w:customStyle="1" w:styleId="FootnoteTextChar">
    <w:name w:val="Footnote Text Char"/>
    <w:aliases w:val="Dipnot Metni Char Char Char Char Char"/>
    <w:basedOn w:val="DefaultParagraphFont"/>
    <w:link w:val="FootnoteText"/>
    <w:rsid w:val="00121786"/>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rsid w:val="00121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1374</Words>
  <Characters>7833</Characters>
  <Application>Microsoft Macintosh Word</Application>
  <DocSecurity>0</DocSecurity>
  <Lines>65</Lines>
  <Paragraphs>18</Paragraphs>
  <ScaleCrop>false</ScaleCrop>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2017-11-22T17:28:00Z</dcterms:created>
  <dcterms:modified xsi:type="dcterms:W3CDTF">2017-11-22T17:41:00Z</dcterms:modified>
</cp:coreProperties>
</file>