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05E77" w14:textId="77777777" w:rsidR="00324886" w:rsidRPr="00E517DC" w:rsidRDefault="00324886" w:rsidP="00324886">
      <w:pPr>
        <w:pStyle w:val="BodyTextIndent"/>
        <w:tabs>
          <w:tab w:val="left" w:pos="990"/>
        </w:tabs>
        <w:spacing w:before="240" w:line="360" w:lineRule="auto"/>
        <w:ind w:right="-1" w:firstLine="0"/>
        <w:jc w:val="center"/>
        <w:rPr>
          <w:b/>
        </w:rPr>
      </w:pPr>
      <w:r w:rsidRPr="00E517DC">
        <w:rPr>
          <w:b/>
        </w:rPr>
        <w:t>V. HAFTA</w:t>
      </w:r>
    </w:p>
    <w:p w14:paraId="72E4FFC7" w14:textId="77777777" w:rsidR="00324886" w:rsidRDefault="00324886" w:rsidP="00324886">
      <w:pPr>
        <w:pStyle w:val="BodyTextIndent"/>
        <w:tabs>
          <w:tab w:val="left" w:pos="990"/>
        </w:tabs>
        <w:spacing w:before="240" w:after="100" w:afterAutospacing="1" w:line="360" w:lineRule="auto"/>
        <w:ind w:right="-1" w:firstLine="709"/>
        <w:rPr>
          <w:b/>
        </w:rPr>
      </w:pPr>
      <w:r>
        <w:rPr>
          <w:b/>
        </w:rPr>
        <w:t>3 – Kirliliği Önleme, Müdahale, Azaltma</w:t>
      </w:r>
    </w:p>
    <w:p w14:paraId="56355B92" w14:textId="77777777" w:rsidR="00324886" w:rsidRPr="00B45462" w:rsidRDefault="00324886" w:rsidP="00324886">
      <w:pPr>
        <w:autoSpaceDE w:val="0"/>
        <w:autoSpaceDN w:val="0"/>
        <w:adjustRightInd w:val="0"/>
        <w:spacing w:after="100" w:afterAutospacing="1" w:line="360" w:lineRule="auto"/>
        <w:ind w:firstLine="709"/>
        <w:jc w:val="both"/>
        <w:rPr>
          <w:rFonts w:eastAsiaTheme="minorHAnsi"/>
          <w:b/>
          <w:iCs/>
          <w:color w:val="000000"/>
          <w:lang w:eastAsia="en-US"/>
        </w:rPr>
      </w:pPr>
      <w:r>
        <w:rPr>
          <w:rFonts w:eastAsiaTheme="minorHAnsi"/>
          <w:b/>
          <w:iCs/>
          <w:color w:val="000000"/>
          <w:lang w:eastAsia="en-US"/>
        </w:rPr>
        <w:t xml:space="preserve">a – Kanunun Uygulanmasında Yetki </w:t>
      </w:r>
    </w:p>
    <w:p w14:paraId="5806C7A1" w14:textId="77777777" w:rsidR="00324886" w:rsidRDefault="00324886" w:rsidP="00324886">
      <w:pPr>
        <w:autoSpaceDE w:val="0"/>
        <w:autoSpaceDN w:val="0"/>
        <w:adjustRightInd w:val="0"/>
        <w:spacing w:after="100" w:afterAutospacing="1" w:line="360" w:lineRule="auto"/>
        <w:ind w:firstLine="709"/>
        <w:jc w:val="both"/>
        <w:rPr>
          <w:rFonts w:eastAsiaTheme="minorHAnsi"/>
          <w:iCs/>
          <w:color w:val="000000"/>
          <w:lang w:eastAsia="en-US"/>
        </w:rPr>
      </w:pPr>
      <w:r>
        <w:rPr>
          <w:rFonts w:eastAsiaTheme="minorHAnsi"/>
          <w:iCs/>
          <w:color w:val="000000"/>
          <w:lang w:eastAsia="en-US"/>
        </w:rPr>
        <w:t xml:space="preserve">Müdahale Kanununun uygulanmasında genel yetki ve genel koordinasyon görevi Çevre ve Şehircilik Bakanlığına aittir. Bu kanunla yetkilendirilen kurum ve kuruluşlar elde ettikleri bilgi ve belgeler ile yapılan işlemleri gecikmeksizin Bakanlığa bildirirler (m. 4/1).   </w:t>
      </w:r>
    </w:p>
    <w:p w14:paraId="1725524B" w14:textId="77777777" w:rsidR="00324886" w:rsidRPr="00B45462" w:rsidRDefault="00324886" w:rsidP="00324886">
      <w:pPr>
        <w:autoSpaceDE w:val="0"/>
        <w:autoSpaceDN w:val="0"/>
        <w:adjustRightInd w:val="0"/>
        <w:spacing w:after="100" w:afterAutospacing="1" w:line="360" w:lineRule="auto"/>
        <w:ind w:firstLine="709"/>
        <w:jc w:val="both"/>
        <w:rPr>
          <w:rFonts w:eastAsiaTheme="minorHAnsi"/>
          <w:b/>
          <w:color w:val="000000"/>
          <w:lang w:eastAsia="en-US"/>
        </w:rPr>
      </w:pPr>
      <w:r>
        <w:rPr>
          <w:rFonts w:eastAsiaTheme="minorHAnsi"/>
          <w:b/>
          <w:color w:val="000000"/>
          <w:lang w:eastAsia="en-US"/>
        </w:rPr>
        <w:t xml:space="preserve">b – </w:t>
      </w:r>
      <w:r w:rsidRPr="00AE52C9">
        <w:rPr>
          <w:rFonts w:eastAsiaTheme="minorHAnsi"/>
          <w:b/>
          <w:color w:val="000000"/>
          <w:lang w:eastAsia="en-US"/>
        </w:rPr>
        <w:t xml:space="preserve">Seyir, Can, Mal </w:t>
      </w:r>
      <w:r>
        <w:rPr>
          <w:rFonts w:eastAsiaTheme="minorHAnsi"/>
          <w:b/>
          <w:color w:val="000000"/>
          <w:lang w:eastAsia="en-US"/>
        </w:rPr>
        <w:t>v</w:t>
      </w:r>
      <w:r w:rsidRPr="00AE52C9">
        <w:rPr>
          <w:rFonts w:eastAsiaTheme="minorHAnsi"/>
          <w:b/>
          <w:color w:val="000000"/>
          <w:lang w:eastAsia="en-US"/>
        </w:rPr>
        <w:t>e Çevre Emniyetine Dair Tedbirleri Alma Yükümlülüğü</w:t>
      </w:r>
      <w:r>
        <w:rPr>
          <w:rFonts w:eastAsiaTheme="minorHAnsi"/>
          <w:b/>
          <w:color w:val="000000"/>
          <w:lang w:eastAsia="en-US"/>
        </w:rPr>
        <w:t xml:space="preserve"> </w:t>
      </w:r>
    </w:p>
    <w:p w14:paraId="0DD2C2D1" w14:textId="77777777" w:rsidR="00324886" w:rsidRPr="0090090D" w:rsidRDefault="00324886" w:rsidP="00324886">
      <w:pPr>
        <w:autoSpaceDE w:val="0"/>
        <w:autoSpaceDN w:val="0"/>
        <w:adjustRightInd w:val="0"/>
        <w:spacing w:after="100" w:afterAutospacing="1" w:line="360" w:lineRule="auto"/>
        <w:ind w:firstLine="709"/>
        <w:jc w:val="both"/>
        <w:rPr>
          <w:rFonts w:eastAsiaTheme="minorHAnsi"/>
          <w:iCs/>
          <w:lang w:eastAsia="en-US"/>
        </w:rPr>
      </w:pPr>
      <w:r>
        <w:rPr>
          <w:rFonts w:eastAsiaTheme="minorHAnsi"/>
          <w:iCs/>
          <w:color w:val="000000"/>
          <w:lang w:eastAsia="en-US"/>
        </w:rPr>
        <w:t xml:space="preserve">Müdahale Kanunu kapsamında bulunan bütün gemi ve kıyı tesislerinin sorumlu tarafları; olayın meydana gelmesinin önlenmesi, </w:t>
      </w:r>
      <w:r w:rsidRPr="00B45462">
        <w:rPr>
          <w:rFonts w:eastAsiaTheme="minorHAnsi"/>
          <w:color w:val="000000"/>
          <w:lang w:eastAsia="en-US"/>
        </w:rPr>
        <w:t>olayın meydana geldiği</w:t>
      </w:r>
      <w:r>
        <w:rPr>
          <w:rFonts w:eastAsiaTheme="minorHAnsi"/>
          <w:color w:val="000000"/>
          <w:lang w:eastAsia="en-US"/>
        </w:rPr>
        <w:t xml:space="preserve">nde </w:t>
      </w:r>
      <w:r w:rsidRPr="00B45462">
        <w:rPr>
          <w:rFonts w:eastAsiaTheme="minorHAnsi"/>
          <w:color w:val="000000"/>
          <w:lang w:eastAsia="en-US"/>
        </w:rPr>
        <w:t>ise zararın azaltılması, giderilmesi, sınırlandırılması amacıyla hazırlıklı olma ve koruyucu önlemler de d</w:t>
      </w:r>
      <w:r>
        <w:rPr>
          <w:rFonts w:eastAsiaTheme="minorHAnsi"/>
          <w:color w:val="000000"/>
          <w:lang w:eastAsia="en-US"/>
        </w:rPr>
        <w:t>â</w:t>
      </w:r>
      <w:r w:rsidRPr="00B45462">
        <w:rPr>
          <w:rFonts w:eastAsiaTheme="minorHAnsi"/>
          <w:color w:val="000000"/>
          <w:lang w:eastAsia="en-US"/>
        </w:rPr>
        <w:t xml:space="preserve">hil uluslararası hukukun öngördüğü ve seyir, can, mal ve çevre emniyetinin gerektirdiği </w:t>
      </w:r>
      <w:r w:rsidRPr="0090090D">
        <w:rPr>
          <w:rFonts w:eastAsiaTheme="minorHAnsi"/>
          <w:lang w:eastAsia="en-US"/>
        </w:rPr>
        <w:t xml:space="preserve">yükümlülüklere ilişkin tüm tedbirleri almakla yükümlüdürler (m. 5/1) </w:t>
      </w:r>
      <w:r w:rsidRPr="0090090D">
        <w:rPr>
          <w:rFonts w:eastAsiaTheme="minorHAnsi"/>
          <w:iCs/>
          <w:lang w:eastAsia="en-US"/>
        </w:rPr>
        <w:t xml:space="preserve"> </w:t>
      </w:r>
    </w:p>
    <w:p w14:paraId="69888EE9" w14:textId="77777777" w:rsidR="00324886" w:rsidRDefault="00324886" w:rsidP="00324886">
      <w:pPr>
        <w:autoSpaceDE w:val="0"/>
        <w:autoSpaceDN w:val="0"/>
        <w:adjustRightInd w:val="0"/>
        <w:spacing w:after="100" w:afterAutospacing="1" w:line="360" w:lineRule="auto"/>
        <w:ind w:firstLine="709"/>
        <w:jc w:val="both"/>
        <w:rPr>
          <w:rFonts w:eastAsiaTheme="minorHAnsi"/>
          <w:color w:val="000000"/>
          <w:lang w:eastAsia="en-US"/>
        </w:rPr>
      </w:pPr>
      <w:r w:rsidRPr="00B45462">
        <w:rPr>
          <w:rFonts w:eastAsiaTheme="minorHAnsi"/>
          <w:color w:val="000000"/>
          <w:lang w:eastAsia="en-US"/>
        </w:rPr>
        <w:t>Türkiye'nin taraf olduğu uluslararası sözleşmelerde seyir, can, mal ve çevre emniyeti ile ilgili olarak belirlenmiş standartlara uyduğunu, uluslararası kabul görmüş belgelerle ispat edemeyen veya standartlara uymadığı konusunda açık emareler bulunan petrol ve/veya diğer zararlı maddeleri taşıyan bu Kanun kapsamındaki yabancı bayraklı gemilerin, can kurtarma hizmetlerinden kaynaklanacak mücbir sebepler dışında, Türk iç sularına veya iç sular dışındaki bir demir yeri veya liman tesislerine uğramak amacıyla Türk karasularına ve iç sularına girmesine izin verilmez; girmiş olan gemiler derhal buralardan çıkartılır veya standartları sağlaması için en fazla otuz gün süre verilir. Bu süre sonunda standartları sağlamadığı tespit edilen gemiler derhal karasuları dışına çıkartılır. Standartlara uymayan bu Kanun kapsamındaki Türk bayraklı gemiler ise standartları sağlayıncaya kadar bağlanarak seferden yasaklanır. Bu durumdaki gemilerin yükü, gemi veya yük sahibince standartlara uygun başka bir gemiye nakledilir ve mevzuat uyarınca bertaraf edilmesi gereken yüklerin uygun</w:t>
      </w:r>
      <w:r>
        <w:rPr>
          <w:rFonts w:eastAsiaTheme="minorHAnsi"/>
          <w:color w:val="000000"/>
          <w:lang w:eastAsia="en-US"/>
        </w:rPr>
        <w:t xml:space="preserve"> bir şekilde bertarafı sağlanır (5/2).</w:t>
      </w:r>
    </w:p>
    <w:p w14:paraId="36DF6952" w14:textId="77777777" w:rsidR="00324886" w:rsidRPr="00B45462" w:rsidRDefault="00324886" w:rsidP="00324886">
      <w:pPr>
        <w:autoSpaceDE w:val="0"/>
        <w:autoSpaceDN w:val="0"/>
        <w:adjustRightInd w:val="0"/>
        <w:spacing w:after="100" w:afterAutospacing="1" w:line="360" w:lineRule="auto"/>
        <w:ind w:firstLine="709"/>
        <w:jc w:val="both"/>
        <w:rPr>
          <w:rFonts w:eastAsiaTheme="minorHAnsi"/>
          <w:color w:val="000000"/>
          <w:lang w:eastAsia="en-US"/>
        </w:rPr>
      </w:pPr>
      <w:r w:rsidRPr="00B45462">
        <w:rPr>
          <w:rFonts w:eastAsiaTheme="minorHAnsi"/>
          <w:color w:val="000000"/>
          <w:lang w:eastAsia="en-US"/>
        </w:rPr>
        <w:t xml:space="preserve">Bu Kanun kapsamındaki gemiler, Türk iç sularına veya iç sular dışındaki bir demir yeri veya liman tesislerine uğramak amacı ile Türk karasularına girmeden kırksekiz saat önce veya kalkış limanı ile Türk karasularına girmesine kadarki seyir süresi kırksekiz saatten az olan </w:t>
      </w:r>
      <w:r w:rsidRPr="00B45462">
        <w:rPr>
          <w:rFonts w:eastAsiaTheme="minorHAnsi"/>
          <w:color w:val="000000"/>
          <w:lang w:eastAsia="en-US"/>
        </w:rPr>
        <w:lastRenderedPageBreak/>
        <w:t xml:space="preserve">gemiler kalkış limanından hareketten hemen sonra Müsteşarlığa, gemi ve taşıdığı yükle ilgili bilgileri vermek zorundadır. Bu zorunluluğa uymayan gemilerin Türk karasularına ve iç sularına girmesine izin verilmez; girmiş olan gemiler derhal buralardan çıkartılır. Bildirime ilişkin usûl ve esaslar yönetmelikle belirlenir </w:t>
      </w:r>
      <w:r>
        <w:rPr>
          <w:rFonts w:eastAsiaTheme="minorHAnsi"/>
          <w:color w:val="000000"/>
          <w:lang w:eastAsia="en-US"/>
        </w:rPr>
        <w:t>(5/3).</w:t>
      </w:r>
    </w:p>
    <w:p w14:paraId="33D83F1D" w14:textId="77777777" w:rsidR="00324886" w:rsidRPr="00B45462" w:rsidRDefault="00324886" w:rsidP="00324886">
      <w:pPr>
        <w:autoSpaceDE w:val="0"/>
        <w:autoSpaceDN w:val="0"/>
        <w:adjustRightInd w:val="0"/>
        <w:spacing w:after="100" w:afterAutospacing="1" w:line="360" w:lineRule="auto"/>
        <w:ind w:firstLine="709"/>
        <w:jc w:val="both"/>
        <w:rPr>
          <w:rFonts w:eastAsiaTheme="minorHAnsi"/>
          <w:color w:val="000000"/>
          <w:lang w:eastAsia="en-US"/>
        </w:rPr>
      </w:pPr>
      <w:r w:rsidRPr="00B45462">
        <w:rPr>
          <w:rFonts w:eastAsiaTheme="minorHAnsi"/>
          <w:color w:val="000000"/>
          <w:lang w:eastAsia="en-US"/>
        </w:rPr>
        <w:t>Seyir, can, mal ve çevre emniyetini sağlamak amacıyla alınan tedbirler, bu Kanun, ilgili mevzuat ve uluslararası düzenlemelerde belirtilen usûl ve esaslara göre, yetkili kuruluşlar tarafından denetlenir. Denetim ile ilgili usûl ve esaslar yönetmelikle beli</w:t>
      </w:r>
      <w:r>
        <w:rPr>
          <w:rFonts w:eastAsiaTheme="minorHAnsi"/>
          <w:color w:val="000000"/>
          <w:lang w:eastAsia="en-US"/>
        </w:rPr>
        <w:t>rlenir (5/4).</w:t>
      </w:r>
      <w:r w:rsidRPr="00B45462">
        <w:rPr>
          <w:rFonts w:eastAsiaTheme="minorHAnsi"/>
          <w:color w:val="000000"/>
          <w:lang w:eastAsia="en-US"/>
        </w:rPr>
        <w:t xml:space="preserve"> </w:t>
      </w:r>
    </w:p>
    <w:p w14:paraId="09FA0A97" w14:textId="77777777" w:rsidR="00324886" w:rsidRDefault="00324886" w:rsidP="00324886">
      <w:pPr>
        <w:autoSpaceDE w:val="0"/>
        <w:autoSpaceDN w:val="0"/>
        <w:adjustRightInd w:val="0"/>
        <w:spacing w:after="100" w:afterAutospacing="1" w:line="360" w:lineRule="auto"/>
        <w:ind w:firstLine="709"/>
        <w:jc w:val="both"/>
        <w:rPr>
          <w:rFonts w:eastAsiaTheme="minorHAnsi"/>
          <w:b/>
          <w:iCs/>
          <w:color w:val="000000"/>
          <w:lang w:eastAsia="en-US"/>
        </w:rPr>
      </w:pPr>
      <w:r>
        <w:rPr>
          <w:rFonts w:eastAsiaTheme="minorHAnsi"/>
          <w:b/>
          <w:iCs/>
          <w:color w:val="000000"/>
          <w:lang w:eastAsia="en-US"/>
        </w:rPr>
        <w:t>c – Acil Müdahale Planları, Kirlenmenin ve Zararın Tespiti</w:t>
      </w:r>
    </w:p>
    <w:p w14:paraId="5874E82B" w14:textId="77777777" w:rsidR="00324886" w:rsidRDefault="00324886" w:rsidP="00324886">
      <w:pPr>
        <w:autoSpaceDE w:val="0"/>
        <w:autoSpaceDN w:val="0"/>
        <w:adjustRightInd w:val="0"/>
        <w:spacing w:after="100" w:afterAutospacing="1" w:line="360" w:lineRule="auto"/>
        <w:ind w:firstLine="709"/>
        <w:jc w:val="both"/>
        <w:rPr>
          <w:rFonts w:eastAsiaTheme="minorHAnsi"/>
          <w:color w:val="000000"/>
          <w:lang w:eastAsia="en-US"/>
        </w:rPr>
      </w:pPr>
      <w:r w:rsidRPr="00B45462">
        <w:rPr>
          <w:rFonts w:eastAsiaTheme="minorHAnsi"/>
          <w:color w:val="000000"/>
          <w:lang w:eastAsia="en-US"/>
        </w:rPr>
        <w:t xml:space="preserve">Acil müdahale plânlarının hazırlanması, kıyı alanlarında acil müdahale plânlarının uygulanması, kirlenmenin türü ve etkilerinin belirlenmesi, çevreye olan zararların tespiti ve olay sonrası kirlilikten etkilenen alanların rehabilitasyonuna ilişkin yetki, görev ve sorumluluklar </w:t>
      </w:r>
      <w:r>
        <w:rPr>
          <w:rFonts w:eastAsiaTheme="minorHAnsi"/>
          <w:color w:val="000000"/>
          <w:lang w:eastAsia="en-US"/>
        </w:rPr>
        <w:t xml:space="preserve">Çevre ve Şehircilik Bakanlığına aittir (m. 4/2). </w:t>
      </w:r>
    </w:p>
    <w:p w14:paraId="17FBA4FF" w14:textId="77777777" w:rsidR="00324886" w:rsidRDefault="00324886" w:rsidP="00324886">
      <w:pPr>
        <w:autoSpaceDE w:val="0"/>
        <w:autoSpaceDN w:val="0"/>
        <w:adjustRightInd w:val="0"/>
        <w:spacing w:after="100" w:afterAutospacing="1" w:line="360" w:lineRule="auto"/>
        <w:ind w:firstLine="709"/>
        <w:jc w:val="both"/>
        <w:rPr>
          <w:rFonts w:eastAsiaTheme="minorHAnsi"/>
          <w:color w:val="000000"/>
          <w:lang w:eastAsia="en-US"/>
        </w:rPr>
      </w:pPr>
      <w:r>
        <w:rPr>
          <w:rFonts w:eastAsiaTheme="minorHAnsi"/>
          <w:color w:val="000000"/>
          <w:lang w:eastAsia="en-US"/>
        </w:rPr>
        <w:t xml:space="preserve">Buna karşılık </w:t>
      </w:r>
      <w:r w:rsidRPr="00B45462">
        <w:rPr>
          <w:rFonts w:eastAsiaTheme="minorHAnsi"/>
          <w:color w:val="000000"/>
          <w:lang w:eastAsia="en-US"/>
        </w:rPr>
        <w:t>deniz araçlarından kaynaklanan deniz kirliliğinin önlenmesine yönelik acil müdahale plânlarının uygulanması, hazırlıklı olma</w:t>
      </w:r>
      <w:r>
        <w:rPr>
          <w:rFonts w:eastAsiaTheme="minorHAnsi"/>
          <w:color w:val="000000"/>
          <w:lang w:eastAsia="en-US"/>
        </w:rPr>
        <w:t xml:space="preserve"> ve</w:t>
      </w:r>
      <w:r w:rsidRPr="00B45462">
        <w:rPr>
          <w:rFonts w:eastAsiaTheme="minorHAnsi"/>
          <w:color w:val="000000"/>
          <w:lang w:eastAsia="en-US"/>
        </w:rPr>
        <w:t xml:space="preserve"> kirliliğe müdahale konularında icraya ilişkin yetki, görev ve sorumluluklar Müsteşarlığa</w:t>
      </w:r>
      <w:r>
        <w:rPr>
          <w:rFonts w:eastAsiaTheme="minorHAnsi"/>
          <w:color w:val="000000"/>
          <w:lang w:eastAsia="en-US"/>
        </w:rPr>
        <w:t xml:space="preserve"> (UDHB)’na aittir (m. 4/2). </w:t>
      </w:r>
    </w:p>
    <w:p w14:paraId="2BF58947" w14:textId="77777777" w:rsidR="00324886" w:rsidRDefault="00324886" w:rsidP="00324886">
      <w:pPr>
        <w:spacing w:after="200" w:line="276" w:lineRule="auto"/>
        <w:rPr>
          <w:rFonts w:eastAsiaTheme="minorHAnsi"/>
          <w:color w:val="000000"/>
          <w:lang w:eastAsia="en-US"/>
        </w:rPr>
      </w:pPr>
      <w:r>
        <w:rPr>
          <w:rFonts w:eastAsiaTheme="minorHAnsi"/>
          <w:color w:val="000000"/>
          <w:lang w:eastAsia="en-US"/>
        </w:rPr>
        <w:br w:type="page"/>
      </w:r>
    </w:p>
    <w:p w14:paraId="5ABC07ED" w14:textId="77777777" w:rsidR="005315EA" w:rsidRDefault="00324886">
      <w:bookmarkStart w:id="0" w:name="_GoBack"/>
      <w:bookmarkEnd w:id="0"/>
    </w:p>
    <w:sectPr w:rsidR="005315EA" w:rsidSect="00F77B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82"/>
    <w:rsid w:val="00324886"/>
    <w:rsid w:val="00397932"/>
    <w:rsid w:val="00403C95"/>
    <w:rsid w:val="0067306D"/>
    <w:rsid w:val="00C60382"/>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BE1E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4886"/>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324886"/>
    <w:pPr>
      <w:ind w:firstLine="960"/>
      <w:jc w:val="both"/>
    </w:pPr>
  </w:style>
  <w:style w:type="character" w:customStyle="1" w:styleId="BodyTextIndentChar">
    <w:name w:val="Body Text Indent Char"/>
    <w:basedOn w:val="DefaultParagraphFont"/>
    <w:link w:val="BodyTextIndent"/>
    <w:semiHidden/>
    <w:rsid w:val="00324886"/>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2955</Characters>
  <Application>Microsoft Macintosh Word</Application>
  <DocSecurity>0</DocSecurity>
  <Lines>24</Lines>
  <Paragraphs>6</Paragraphs>
  <ScaleCrop>false</ScaleCrop>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2017-11-22T17:29:00Z</dcterms:created>
  <dcterms:modified xsi:type="dcterms:W3CDTF">2017-11-22T17:42:00Z</dcterms:modified>
</cp:coreProperties>
</file>