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4C9C9" w14:textId="77777777" w:rsidR="00024018" w:rsidRPr="00713D5E" w:rsidRDefault="00024018" w:rsidP="00024018">
      <w:pPr>
        <w:spacing w:after="120" w:line="360" w:lineRule="auto"/>
        <w:ind w:right="-1" w:firstLine="709"/>
        <w:jc w:val="center"/>
        <w:rPr>
          <w:b/>
        </w:rPr>
      </w:pPr>
      <w:r w:rsidRPr="00713D5E">
        <w:rPr>
          <w:b/>
        </w:rPr>
        <w:t>VII. HAFTA</w:t>
      </w:r>
    </w:p>
    <w:p w14:paraId="210DD579" w14:textId="77777777" w:rsidR="00024018" w:rsidRPr="00C61D24" w:rsidRDefault="00024018" w:rsidP="00024018">
      <w:pPr>
        <w:tabs>
          <w:tab w:val="left" w:pos="1134"/>
        </w:tabs>
        <w:spacing w:after="200" w:line="276" w:lineRule="auto"/>
        <w:ind w:left="1134" w:right="-1" w:hanging="425"/>
        <w:jc w:val="both"/>
        <w:rPr>
          <w:b/>
        </w:rPr>
      </w:pPr>
      <w:r>
        <w:rPr>
          <w:b/>
        </w:rPr>
        <w:t xml:space="preserve">4 – </w:t>
      </w:r>
      <w:r w:rsidRPr="007B3F60">
        <w:rPr>
          <w:b/>
        </w:rPr>
        <w:t>Petrol</w:t>
      </w:r>
      <w:r>
        <w:rPr>
          <w:b/>
        </w:rPr>
        <w:t xml:space="preserve"> </w:t>
      </w:r>
      <w:r w:rsidRPr="007B3F60">
        <w:rPr>
          <w:b/>
        </w:rPr>
        <w:t xml:space="preserve">Kirliliğine </w:t>
      </w:r>
      <w:r w:rsidRPr="00C61D24">
        <w:rPr>
          <w:b/>
        </w:rPr>
        <w:t xml:space="preserve">Karşı Hazırlıklı Olma, Müdahale ve </w:t>
      </w:r>
      <w:proofErr w:type="gramStart"/>
      <w:r w:rsidRPr="00C61D24">
        <w:rPr>
          <w:b/>
        </w:rPr>
        <w:t>İşbirliği</w:t>
      </w:r>
      <w:proofErr w:type="gramEnd"/>
      <w:r w:rsidRPr="00C61D24">
        <w:rPr>
          <w:b/>
        </w:rPr>
        <w:t xml:space="preserve"> İle İlgili Uluslararası Sözleşme </w:t>
      </w:r>
      <w:r>
        <w:rPr>
          <w:b/>
        </w:rPr>
        <w:t>(</w:t>
      </w:r>
      <w:r w:rsidRPr="00C61D24">
        <w:rPr>
          <w:b/>
          <w:bCs/>
          <w:kern w:val="36"/>
        </w:rPr>
        <w:t xml:space="preserve">International </w:t>
      </w:r>
      <w:proofErr w:type="spellStart"/>
      <w:r w:rsidRPr="00C61D24">
        <w:rPr>
          <w:b/>
          <w:bCs/>
          <w:kern w:val="36"/>
        </w:rPr>
        <w:t>Convention</w:t>
      </w:r>
      <w:proofErr w:type="spellEnd"/>
      <w:r w:rsidRPr="00C61D24">
        <w:rPr>
          <w:b/>
          <w:bCs/>
          <w:kern w:val="36"/>
        </w:rPr>
        <w:t xml:space="preserve"> on </w:t>
      </w:r>
      <w:proofErr w:type="spellStart"/>
      <w:r w:rsidRPr="00C61D24">
        <w:rPr>
          <w:b/>
          <w:bCs/>
          <w:kern w:val="36"/>
        </w:rPr>
        <w:t>Oil</w:t>
      </w:r>
      <w:proofErr w:type="spellEnd"/>
      <w:r w:rsidRPr="00C61D24">
        <w:rPr>
          <w:b/>
          <w:bCs/>
          <w:kern w:val="36"/>
        </w:rPr>
        <w:t xml:space="preserve"> </w:t>
      </w:r>
      <w:proofErr w:type="spellStart"/>
      <w:r w:rsidRPr="00C61D24">
        <w:rPr>
          <w:b/>
          <w:bCs/>
          <w:kern w:val="36"/>
        </w:rPr>
        <w:t>Pollution</w:t>
      </w:r>
      <w:proofErr w:type="spellEnd"/>
      <w:r w:rsidRPr="00C61D24">
        <w:rPr>
          <w:b/>
          <w:bCs/>
          <w:kern w:val="36"/>
        </w:rPr>
        <w:t xml:space="preserve"> </w:t>
      </w:r>
      <w:proofErr w:type="spellStart"/>
      <w:r w:rsidRPr="00C61D24">
        <w:rPr>
          <w:b/>
          <w:bCs/>
          <w:kern w:val="36"/>
        </w:rPr>
        <w:t>Preparedness</w:t>
      </w:r>
      <w:proofErr w:type="spellEnd"/>
      <w:r w:rsidRPr="00C61D24">
        <w:rPr>
          <w:b/>
          <w:bCs/>
          <w:kern w:val="36"/>
        </w:rPr>
        <w:t xml:space="preserve">, </w:t>
      </w:r>
      <w:proofErr w:type="spellStart"/>
      <w:r w:rsidRPr="00C61D24">
        <w:rPr>
          <w:b/>
          <w:bCs/>
          <w:kern w:val="36"/>
        </w:rPr>
        <w:t>Response</w:t>
      </w:r>
      <w:proofErr w:type="spellEnd"/>
      <w:r w:rsidRPr="00C61D24">
        <w:rPr>
          <w:b/>
          <w:bCs/>
          <w:kern w:val="36"/>
        </w:rPr>
        <w:t xml:space="preserve"> </w:t>
      </w:r>
      <w:proofErr w:type="spellStart"/>
      <w:r w:rsidRPr="00C61D24">
        <w:rPr>
          <w:b/>
          <w:bCs/>
          <w:kern w:val="36"/>
        </w:rPr>
        <w:t>and</w:t>
      </w:r>
      <w:proofErr w:type="spellEnd"/>
      <w:r w:rsidRPr="00C61D24">
        <w:rPr>
          <w:b/>
          <w:bCs/>
          <w:kern w:val="36"/>
        </w:rPr>
        <w:t xml:space="preserve"> </w:t>
      </w:r>
      <w:proofErr w:type="spellStart"/>
      <w:r w:rsidRPr="00C61D24">
        <w:rPr>
          <w:b/>
          <w:bCs/>
          <w:kern w:val="36"/>
        </w:rPr>
        <w:t>Co-operation</w:t>
      </w:r>
      <w:proofErr w:type="spellEnd"/>
      <w:r>
        <w:rPr>
          <w:b/>
          <w:bCs/>
          <w:kern w:val="36"/>
        </w:rPr>
        <w:t>)</w:t>
      </w:r>
      <w:r w:rsidRPr="00C61D24">
        <w:rPr>
          <w:b/>
        </w:rPr>
        <w:t xml:space="preserve"> </w:t>
      </w:r>
    </w:p>
    <w:p w14:paraId="2AC3584E" w14:textId="77777777" w:rsidR="00024018" w:rsidRPr="00C81F2E" w:rsidRDefault="00024018" w:rsidP="00024018">
      <w:pPr>
        <w:autoSpaceDE w:val="0"/>
        <w:autoSpaceDN w:val="0"/>
        <w:adjustRightInd w:val="0"/>
        <w:spacing w:after="120" w:line="360" w:lineRule="auto"/>
        <w:ind w:right="-1" w:firstLine="709"/>
        <w:jc w:val="both"/>
      </w:pPr>
      <w:r w:rsidRPr="00C81F2E">
        <w:t xml:space="preserve">“Petrol Kirliliğine Karşı Hazırlıklı Olma, Müdahale ve İşbirliğine Dair Uluslararası Sözleşme" (OPRC) 1990 yılında IMO tarafından benimsenerek imzaya açılmıştır. Bu Sözleşme, Petrol Kirliliğine karşı hazırlıklı olma ve müdahale konusunda, taraflar arasında uluslararası koordinasyon ve </w:t>
      </w:r>
      <w:proofErr w:type="gramStart"/>
      <w:r w:rsidRPr="00C81F2E">
        <w:t>işbirliği</w:t>
      </w:r>
      <w:proofErr w:type="gramEnd"/>
      <w:r w:rsidRPr="00C81F2E">
        <w:t xml:space="preserve"> sağlama, bilgi alış verişi, eğitim ve teknik yardım hususlarını kapsamakta olup; </w:t>
      </w:r>
      <w:proofErr w:type="spellStart"/>
      <w:r w:rsidRPr="00C81F2E">
        <w:t>IMO'ya</w:t>
      </w:r>
      <w:proofErr w:type="spellEnd"/>
      <w:r w:rsidRPr="00C81F2E">
        <w:t xml:space="preserve"> yeni bir sorumluluk vermektedir. </w:t>
      </w:r>
    </w:p>
    <w:p w14:paraId="231F6E8C" w14:textId="77777777" w:rsidR="00024018" w:rsidRPr="00E97AD1" w:rsidRDefault="00024018" w:rsidP="00024018">
      <w:pPr>
        <w:tabs>
          <w:tab w:val="left" w:pos="1134"/>
        </w:tabs>
        <w:spacing w:after="200" w:line="276" w:lineRule="auto"/>
        <w:ind w:left="1134" w:right="-1" w:hanging="425"/>
        <w:jc w:val="both"/>
      </w:pPr>
      <w:r>
        <w:t xml:space="preserve">Türkiye, 01.10.2004 tarihi itibarıyla </w:t>
      </w:r>
      <w:proofErr w:type="spellStart"/>
      <w:r>
        <w:t>Sözleşme’ye</w:t>
      </w:r>
      <w:proofErr w:type="spellEnd"/>
      <w:r>
        <w:t xml:space="preserve"> taraf olmuştur. </w:t>
      </w:r>
    </w:p>
    <w:p w14:paraId="07E0ABE8" w14:textId="77777777" w:rsidR="00024018" w:rsidRPr="00D5203C" w:rsidRDefault="00024018" w:rsidP="00024018">
      <w:pPr>
        <w:tabs>
          <w:tab w:val="left" w:pos="1134"/>
        </w:tabs>
        <w:spacing w:after="240" w:line="360" w:lineRule="auto"/>
        <w:ind w:left="1134" w:hanging="425"/>
        <w:jc w:val="both"/>
        <w:rPr>
          <w:b/>
        </w:rPr>
      </w:pPr>
      <w:r>
        <w:rPr>
          <w:b/>
        </w:rPr>
        <w:t xml:space="preserve">5 – 1972 Tarihli Denizin Atık ve Diğer Maddelerin Depolanması Suretiyle Kirletilmesinin Önlenmesine Dair </w:t>
      </w:r>
      <w:r w:rsidRPr="00D5203C">
        <w:rPr>
          <w:b/>
        </w:rPr>
        <w:t xml:space="preserve">Sözleşme </w:t>
      </w:r>
      <w:r>
        <w:rPr>
          <w:b/>
        </w:rPr>
        <w:t>(</w:t>
      </w:r>
      <w:proofErr w:type="spellStart"/>
      <w:r w:rsidRPr="00D5203C">
        <w:rPr>
          <w:b/>
          <w:bCs/>
          <w:kern w:val="36"/>
        </w:rPr>
        <w:t>Convention</w:t>
      </w:r>
      <w:proofErr w:type="spellEnd"/>
      <w:r w:rsidRPr="00D5203C">
        <w:rPr>
          <w:b/>
          <w:bCs/>
          <w:kern w:val="36"/>
        </w:rPr>
        <w:t xml:space="preserve"> on </w:t>
      </w:r>
      <w:proofErr w:type="spellStart"/>
      <w:r w:rsidRPr="00D5203C">
        <w:rPr>
          <w:b/>
          <w:bCs/>
          <w:kern w:val="36"/>
        </w:rPr>
        <w:t>the</w:t>
      </w:r>
      <w:proofErr w:type="spellEnd"/>
      <w:r w:rsidRPr="00D5203C">
        <w:rPr>
          <w:b/>
          <w:bCs/>
          <w:kern w:val="36"/>
        </w:rPr>
        <w:t xml:space="preserve"> </w:t>
      </w:r>
      <w:proofErr w:type="spellStart"/>
      <w:r w:rsidRPr="00D5203C">
        <w:rPr>
          <w:b/>
          <w:bCs/>
          <w:kern w:val="36"/>
        </w:rPr>
        <w:t>Prevention</w:t>
      </w:r>
      <w:proofErr w:type="spellEnd"/>
      <w:r w:rsidRPr="00D5203C">
        <w:rPr>
          <w:b/>
          <w:bCs/>
          <w:kern w:val="36"/>
        </w:rPr>
        <w:t xml:space="preserve"> of Marine </w:t>
      </w:r>
      <w:proofErr w:type="spellStart"/>
      <w:r w:rsidRPr="00D5203C">
        <w:rPr>
          <w:b/>
          <w:bCs/>
          <w:kern w:val="36"/>
        </w:rPr>
        <w:t>Pollution</w:t>
      </w:r>
      <w:proofErr w:type="spellEnd"/>
      <w:r w:rsidRPr="00D5203C">
        <w:rPr>
          <w:b/>
          <w:bCs/>
          <w:kern w:val="36"/>
        </w:rPr>
        <w:t xml:space="preserve"> </w:t>
      </w:r>
      <w:proofErr w:type="spellStart"/>
      <w:r w:rsidRPr="00D5203C">
        <w:rPr>
          <w:b/>
          <w:bCs/>
          <w:kern w:val="36"/>
        </w:rPr>
        <w:t>by</w:t>
      </w:r>
      <w:proofErr w:type="spellEnd"/>
      <w:r w:rsidRPr="00D5203C">
        <w:rPr>
          <w:b/>
          <w:bCs/>
          <w:kern w:val="36"/>
        </w:rPr>
        <w:t xml:space="preserve"> </w:t>
      </w:r>
      <w:proofErr w:type="spellStart"/>
      <w:r w:rsidRPr="00D5203C">
        <w:rPr>
          <w:b/>
          <w:bCs/>
          <w:kern w:val="36"/>
        </w:rPr>
        <w:t>Dumping</w:t>
      </w:r>
      <w:proofErr w:type="spellEnd"/>
      <w:r w:rsidRPr="00D5203C">
        <w:rPr>
          <w:b/>
          <w:bCs/>
          <w:kern w:val="36"/>
        </w:rPr>
        <w:t xml:space="preserve"> of </w:t>
      </w:r>
      <w:proofErr w:type="spellStart"/>
      <w:r w:rsidRPr="00D5203C">
        <w:rPr>
          <w:b/>
          <w:bCs/>
          <w:kern w:val="36"/>
        </w:rPr>
        <w:t>Wastes</w:t>
      </w:r>
      <w:proofErr w:type="spellEnd"/>
      <w:r w:rsidRPr="00D5203C">
        <w:rPr>
          <w:b/>
          <w:bCs/>
          <w:kern w:val="36"/>
        </w:rPr>
        <w:t xml:space="preserve"> </w:t>
      </w:r>
      <w:proofErr w:type="spellStart"/>
      <w:r w:rsidRPr="00D5203C">
        <w:rPr>
          <w:b/>
          <w:bCs/>
          <w:kern w:val="36"/>
        </w:rPr>
        <w:t>and</w:t>
      </w:r>
      <w:proofErr w:type="spellEnd"/>
      <w:r w:rsidRPr="00D5203C">
        <w:rPr>
          <w:b/>
          <w:bCs/>
          <w:kern w:val="36"/>
        </w:rPr>
        <w:t xml:space="preserve"> </w:t>
      </w:r>
      <w:proofErr w:type="spellStart"/>
      <w:r w:rsidRPr="00D5203C">
        <w:rPr>
          <w:b/>
          <w:bCs/>
          <w:kern w:val="36"/>
        </w:rPr>
        <w:t>Other</w:t>
      </w:r>
      <w:proofErr w:type="spellEnd"/>
      <w:r w:rsidRPr="00D5203C">
        <w:rPr>
          <w:b/>
          <w:bCs/>
          <w:kern w:val="36"/>
        </w:rPr>
        <w:t xml:space="preserve"> </w:t>
      </w:r>
      <w:proofErr w:type="spellStart"/>
      <w:r w:rsidRPr="00D5203C">
        <w:rPr>
          <w:b/>
          <w:bCs/>
          <w:kern w:val="36"/>
        </w:rPr>
        <w:t>Matter</w:t>
      </w:r>
      <w:proofErr w:type="spellEnd"/>
      <w:r>
        <w:rPr>
          <w:b/>
          <w:bCs/>
          <w:kern w:val="36"/>
        </w:rPr>
        <w:t>, 1972)</w:t>
      </w:r>
    </w:p>
    <w:p w14:paraId="512F9BDA" w14:textId="77777777" w:rsidR="00024018" w:rsidRDefault="00024018" w:rsidP="00024018">
      <w:pPr>
        <w:spacing w:after="240" w:line="360" w:lineRule="auto"/>
        <w:ind w:firstLine="709"/>
        <w:jc w:val="both"/>
      </w:pPr>
      <w:r w:rsidRPr="00B20C0D">
        <w:t>Sözleşme, denizlere atık depolanmasının (atılmasının) kontrol altına alınması amacıyla hazırlanan e</w:t>
      </w:r>
      <w:r>
        <w:t>vrensel nitelikl</w:t>
      </w:r>
      <w:r w:rsidRPr="00B20C0D">
        <w:t>i bir sözleşmedir.</w:t>
      </w:r>
      <w:r>
        <w:t xml:space="preserve"> Taraf Devletlere deniz çevresinin kirlenmesiyle ilgili bütün kaynakların etkili bir kontrolünün geliştirilmesi yükümlülüğünü yüklemekle beraber özellikle insan yaşamına zarar veren, güzellikleri bozan veya denizin meşru kullanım yollarına müdahale eden atık ve maddelerin depolanması suretiyle denizlerin kirlenmesini önlemeyi amaçlamaktadır. </w:t>
      </w:r>
    </w:p>
    <w:p w14:paraId="2A7AD95B" w14:textId="77777777" w:rsidR="00024018" w:rsidRDefault="00024018" w:rsidP="00024018">
      <w:pPr>
        <w:tabs>
          <w:tab w:val="left" w:pos="1134"/>
        </w:tabs>
        <w:spacing w:after="200" w:line="276" w:lineRule="auto"/>
        <w:ind w:left="1134" w:right="-1" w:hanging="425"/>
        <w:jc w:val="both"/>
        <w:rPr>
          <w:b/>
        </w:rPr>
      </w:pPr>
      <w:r>
        <w:rPr>
          <w:b/>
        </w:rPr>
        <w:t>6 – Denizde Can Emniyeti Uluslararası Sözleşmesi (SOLAS 1974)</w:t>
      </w:r>
    </w:p>
    <w:p w14:paraId="45F145C2" w14:textId="77777777" w:rsidR="00024018" w:rsidRPr="0034626C" w:rsidRDefault="00024018" w:rsidP="00024018">
      <w:pPr>
        <w:spacing w:after="240" w:line="360" w:lineRule="auto"/>
        <w:ind w:right="-1" w:firstLine="709"/>
        <w:jc w:val="both"/>
      </w:pPr>
      <w:r w:rsidRPr="0034626C">
        <w:t xml:space="preserve">IMO, 1974’de (01.11.1974) </w:t>
      </w:r>
      <w:proofErr w:type="spellStart"/>
      <w:r w:rsidRPr="0034626C">
        <w:t>SOLAS’ın</w:t>
      </w:r>
      <w:proofErr w:type="spellEnd"/>
      <w:r w:rsidRPr="0034626C">
        <w:t xml:space="preserve"> yeni bir versiyonunu kabul etmiştir. 1974 SOLAS, 25.05.1980 tarihinde yürürlüğe girmiştir. 1974 SOLAS, diğer bazı değişikliklerin yanı sıra 1960 </w:t>
      </w:r>
      <w:proofErr w:type="spellStart"/>
      <w:r w:rsidRPr="0034626C">
        <w:t>SOLAS’da</w:t>
      </w:r>
      <w:proofErr w:type="spellEnd"/>
      <w:r w:rsidRPr="0034626C">
        <w:t xml:space="preserve"> yapılan bir kısım değişiklikleri içermektedir. 1974 </w:t>
      </w:r>
      <w:proofErr w:type="spellStart"/>
      <w:r w:rsidRPr="0034626C">
        <w:t>SOLAS’ın</w:t>
      </w:r>
      <w:proofErr w:type="spellEnd"/>
      <w:r w:rsidRPr="0034626C">
        <w:t xml:space="preserve"> kabul ettiği </w:t>
      </w:r>
      <w:proofErr w:type="gramStart"/>
      <w:r w:rsidRPr="0034626C">
        <w:t>en</w:t>
      </w:r>
      <w:proofErr w:type="gramEnd"/>
      <w:r w:rsidRPr="0034626C">
        <w:t xml:space="preserve"> önemli yeniliklerden birisi, zımni kabul (</w:t>
      </w:r>
      <w:proofErr w:type="spellStart"/>
      <w:r w:rsidRPr="0034626C">
        <w:rPr>
          <w:i/>
        </w:rPr>
        <w:t>tacit</w:t>
      </w:r>
      <w:proofErr w:type="spellEnd"/>
      <w:r w:rsidRPr="0034626C">
        <w:rPr>
          <w:i/>
        </w:rPr>
        <w:t xml:space="preserve"> </w:t>
      </w:r>
      <w:proofErr w:type="spellStart"/>
      <w:r w:rsidRPr="0034626C">
        <w:rPr>
          <w:i/>
        </w:rPr>
        <w:t>acceptance</w:t>
      </w:r>
      <w:proofErr w:type="spellEnd"/>
      <w:r w:rsidRPr="0034626C">
        <w:t xml:space="preserve">) usulüdür. </w:t>
      </w:r>
    </w:p>
    <w:p w14:paraId="540E0B2D" w14:textId="77777777" w:rsidR="00024018" w:rsidRPr="0034626C" w:rsidRDefault="00024018" w:rsidP="00024018">
      <w:pPr>
        <w:spacing w:after="240" w:line="360" w:lineRule="auto"/>
        <w:ind w:right="-1" w:firstLine="709"/>
        <w:jc w:val="both"/>
      </w:pPr>
      <w:proofErr w:type="spellStart"/>
      <w:r w:rsidRPr="0034626C">
        <w:t>SOLAS’ın</w:t>
      </w:r>
      <w:proofErr w:type="spellEnd"/>
      <w:r w:rsidRPr="0034626C">
        <w:t xml:space="preserve"> temel amacı; gemilerin emniyetiyle uyumlu şekilde gemilerin inşası, donanımı ve işletilmesi için asgari standartları belirlemektir. Bayrak devletleri, bayrakları altında bulunan gemilerin istenilen şartlara uymalarını sağlamaktan sorumludur. Ayrıca sözleşmede zikredilen birçok belge, bu uygunluğun bir ispat aracı olarak kabul edilmektedir. Denetim hükümleri de sözleşen devletlerin diğer sözleşen devletlerin gemilerini kontrol etmelerine imkân sağlamaktadır. Ancak bunun için geminin ve donanımının sözleşmenin gereklerine esaslı şekilde uygun olmadığına inanmak için açık sebeplerin mevcut olması </w:t>
      </w:r>
      <w:r w:rsidRPr="0034626C">
        <w:lastRenderedPageBreak/>
        <w:t xml:space="preserve">gerekir. Bu usul, Liman Devleti Kontrolü olarak bilinmektedir. Mevcut SOLAS, genel yükümlülükler, değişiklik prosedürü ve buna benzer başlıkları ihtiva etmektedir. (Maddeleri takiben 12 bölüme ayrılan bir ekle izlenen)  </w:t>
      </w:r>
    </w:p>
    <w:p w14:paraId="39CFA62C" w14:textId="77777777" w:rsidR="00024018" w:rsidRDefault="00024018" w:rsidP="00024018">
      <w:pPr>
        <w:autoSpaceDE w:val="0"/>
        <w:autoSpaceDN w:val="0"/>
        <w:adjustRightInd w:val="0"/>
        <w:spacing w:after="120" w:line="360" w:lineRule="auto"/>
        <w:ind w:firstLine="709"/>
        <w:jc w:val="both"/>
        <w:rPr>
          <w:b/>
          <w:bCs/>
          <w:iCs/>
        </w:rPr>
      </w:pPr>
      <w:proofErr w:type="gramStart"/>
      <w:r>
        <w:rPr>
          <w:b/>
        </w:rPr>
        <w:t xml:space="preserve">7 </w:t>
      </w:r>
      <w:r w:rsidRPr="00D5203C">
        <w:rPr>
          <w:b/>
        </w:rPr>
        <w:t>-</w:t>
      </w:r>
      <w:proofErr w:type="gramEnd"/>
      <w:r w:rsidRPr="00D5203C">
        <w:rPr>
          <w:b/>
        </w:rPr>
        <w:t xml:space="preserve"> </w:t>
      </w:r>
      <w:r w:rsidRPr="00D5203C">
        <w:rPr>
          <w:b/>
          <w:bCs/>
          <w:iCs/>
        </w:rPr>
        <w:t xml:space="preserve">Denizde Çatışmayı Önleme Uluslararası Sözleşmesi, 1972 </w:t>
      </w:r>
      <w:r>
        <w:rPr>
          <w:b/>
          <w:bCs/>
          <w:iCs/>
        </w:rPr>
        <w:t xml:space="preserve">(International </w:t>
      </w:r>
      <w:proofErr w:type="spellStart"/>
      <w:r>
        <w:rPr>
          <w:b/>
          <w:bCs/>
          <w:iCs/>
        </w:rPr>
        <w:t>Regulations</w:t>
      </w:r>
      <w:proofErr w:type="spellEnd"/>
      <w:r>
        <w:rPr>
          <w:b/>
          <w:bCs/>
          <w:iCs/>
        </w:rPr>
        <w:t xml:space="preserve"> </w:t>
      </w:r>
      <w:proofErr w:type="spellStart"/>
      <w:r>
        <w:rPr>
          <w:b/>
          <w:bCs/>
          <w:iCs/>
        </w:rPr>
        <w:t>for</w:t>
      </w:r>
      <w:proofErr w:type="spellEnd"/>
      <w:r>
        <w:rPr>
          <w:b/>
          <w:bCs/>
          <w:iCs/>
        </w:rPr>
        <w:t xml:space="preserve"> </w:t>
      </w:r>
      <w:proofErr w:type="spellStart"/>
      <w:r>
        <w:rPr>
          <w:b/>
          <w:bCs/>
          <w:iCs/>
        </w:rPr>
        <w:t>Preventing</w:t>
      </w:r>
      <w:proofErr w:type="spellEnd"/>
      <w:r>
        <w:rPr>
          <w:b/>
          <w:bCs/>
          <w:iCs/>
        </w:rPr>
        <w:t xml:space="preserve"> </w:t>
      </w:r>
      <w:proofErr w:type="spellStart"/>
      <w:r>
        <w:rPr>
          <w:b/>
          <w:bCs/>
          <w:iCs/>
        </w:rPr>
        <w:t>Collisions</w:t>
      </w:r>
      <w:proofErr w:type="spellEnd"/>
      <w:r>
        <w:rPr>
          <w:b/>
          <w:bCs/>
          <w:iCs/>
        </w:rPr>
        <w:t xml:space="preserve"> at </w:t>
      </w:r>
      <w:proofErr w:type="spellStart"/>
      <w:r>
        <w:rPr>
          <w:b/>
          <w:bCs/>
          <w:iCs/>
        </w:rPr>
        <w:t>Sea</w:t>
      </w:r>
      <w:proofErr w:type="spellEnd"/>
      <w:r>
        <w:rPr>
          <w:b/>
          <w:bCs/>
          <w:iCs/>
        </w:rPr>
        <w:t>, 1972)</w:t>
      </w:r>
    </w:p>
    <w:p w14:paraId="6E26C43E" w14:textId="77777777" w:rsidR="00024018" w:rsidRPr="00D5203C" w:rsidRDefault="00024018" w:rsidP="00024018">
      <w:pPr>
        <w:autoSpaceDE w:val="0"/>
        <w:autoSpaceDN w:val="0"/>
        <w:adjustRightInd w:val="0"/>
        <w:spacing w:after="120" w:line="360" w:lineRule="auto"/>
        <w:ind w:firstLine="709"/>
        <w:jc w:val="both"/>
        <w:rPr>
          <w:bCs/>
          <w:iCs/>
        </w:rPr>
      </w:pPr>
      <w:r>
        <w:rPr>
          <w:bCs/>
          <w:iCs/>
        </w:rPr>
        <w:t xml:space="preserve">Denizde Çatışmayı Önleme Uluslararası Sözleşmesi (COLREG), </w:t>
      </w:r>
      <w:r w:rsidRPr="00D5203C">
        <w:t>denizde çatışmayı önleme kuralları ile gemilerdeki seyir fenerlerinin pozisyonlarının, ses ve işaret aletlerinin nasıl olması gerektiğini belirlemektedir.</w:t>
      </w:r>
    </w:p>
    <w:p w14:paraId="60436BB1" w14:textId="77777777" w:rsidR="00024018" w:rsidRPr="00B824AC" w:rsidRDefault="00024018" w:rsidP="00024018">
      <w:pPr>
        <w:autoSpaceDE w:val="0"/>
        <w:autoSpaceDN w:val="0"/>
        <w:adjustRightInd w:val="0"/>
        <w:spacing w:after="120" w:line="360" w:lineRule="auto"/>
        <w:ind w:firstLine="709"/>
        <w:jc w:val="both"/>
        <w:rPr>
          <w:b/>
          <w:bCs/>
          <w:iCs/>
        </w:rPr>
      </w:pPr>
      <w:proofErr w:type="gramStart"/>
      <w:r w:rsidRPr="00B824AC">
        <w:rPr>
          <w:b/>
        </w:rPr>
        <w:t>8 -</w:t>
      </w:r>
      <w:proofErr w:type="gramEnd"/>
      <w:r w:rsidRPr="00B824AC">
        <w:rPr>
          <w:b/>
        </w:rPr>
        <w:t xml:space="preserve"> </w:t>
      </w:r>
      <w:r w:rsidRPr="00B824AC">
        <w:rPr>
          <w:b/>
          <w:bCs/>
          <w:iCs/>
        </w:rPr>
        <w:t>Gemi Adamlarının Eğitimi, Belgelendirilmesi ve Vardiya Tutma Standartları Uluslararası Sözleşmesi, 1978 (STCW - 78)</w:t>
      </w:r>
    </w:p>
    <w:p w14:paraId="1587582B" w14:textId="77777777" w:rsidR="00024018" w:rsidRPr="00E56451" w:rsidRDefault="00024018" w:rsidP="00024018">
      <w:pPr>
        <w:autoSpaceDE w:val="0"/>
        <w:autoSpaceDN w:val="0"/>
        <w:adjustRightInd w:val="0"/>
        <w:spacing w:after="120" w:line="360" w:lineRule="auto"/>
        <w:ind w:firstLine="709"/>
        <w:jc w:val="both"/>
      </w:pPr>
      <w:r w:rsidRPr="00B824AC">
        <w:t xml:space="preserve">Gemi Adamlarının Eğitimi, Belgelendirilmesi ve Vardiya Tutma Esasları Hakkında Uluslararası Sözleşme (International </w:t>
      </w:r>
      <w:proofErr w:type="spellStart"/>
      <w:r w:rsidRPr="00B824AC">
        <w:t>Convention</w:t>
      </w:r>
      <w:proofErr w:type="spellEnd"/>
      <w:r w:rsidRPr="00B824AC">
        <w:t xml:space="preserve"> on </w:t>
      </w:r>
      <w:proofErr w:type="spellStart"/>
      <w:r w:rsidRPr="00B824AC">
        <w:t>Standarts</w:t>
      </w:r>
      <w:proofErr w:type="spellEnd"/>
      <w:r w:rsidRPr="00B824AC">
        <w:t xml:space="preserve"> of Training </w:t>
      </w:r>
      <w:proofErr w:type="spellStart"/>
      <w:r w:rsidRPr="00B824AC">
        <w:t>Certification</w:t>
      </w:r>
      <w:proofErr w:type="spellEnd"/>
      <w:r w:rsidRPr="00B824AC">
        <w:t xml:space="preserve"> </w:t>
      </w:r>
      <w:proofErr w:type="spellStart"/>
      <w:r w:rsidRPr="00B824AC">
        <w:t>and</w:t>
      </w:r>
      <w:proofErr w:type="spellEnd"/>
      <w:r w:rsidRPr="00B824AC">
        <w:t xml:space="preserve"> </w:t>
      </w:r>
      <w:proofErr w:type="spellStart"/>
      <w:r w:rsidRPr="00B824AC">
        <w:t>Watchkeeping</w:t>
      </w:r>
      <w:proofErr w:type="spellEnd"/>
      <w:r w:rsidRPr="00B824AC">
        <w:t xml:space="preserve"> </w:t>
      </w:r>
      <w:proofErr w:type="spellStart"/>
      <w:r w:rsidRPr="00B824AC">
        <w:t>for</w:t>
      </w:r>
      <w:proofErr w:type="spellEnd"/>
      <w:r w:rsidRPr="00B824AC">
        <w:t xml:space="preserve"> </w:t>
      </w:r>
      <w:proofErr w:type="spellStart"/>
      <w:r w:rsidRPr="00B824AC">
        <w:t>Seafarers</w:t>
      </w:r>
      <w:proofErr w:type="spellEnd"/>
      <w:r w:rsidRPr="00B824AC">
        <w:t xml:space="preserve"> STCW’1978), gemilerin bu sözleşmedeki standartlara göre eğitilmiş gemi adamları ile donatılmalarını ön görmekte ve gemilerde vardiya tutma esaslarını belirtmektedir. </w:t>
      </w:r>
      <w:proofErr w:type="spellStart"/>
      <w:r w:rsidRPr="00B824AC">
        <w:t>IMO’nun</w:t>
      </w:r>
      <w:proofErr w:type="spellEnd"/>
      <w:r w:rsidRPr="00B824AC">
        <w:t xml:space="preserve"> koordinatör görevini yürüttüğü STCW’1978, denizlerde can ve mal güvenliğini arttırıcı ve çevre kirliliğini azaltıcı yöndeki faaliyetlerinde amaca ulaşmak için, dünya </w:t>
      </w:r>
      <w:r w:rsidRPr="00E56451">
        <w:t xml:space="preserve">devletlerinden gemi adamlarının eğitimini istemektedir. </w:t>
      </w:r>
    </w:p>
    <w:p w14:paraId="044E2E8F" w14:textId="77777777" w:rsidR="00024018" w:rsidRPr="00E56451" w:rsidRDefault="00024018" w:rsidP="00024018">
      <w:pPr>
        <w:tabs>
          <w:tab w:val="left" w:pos="1134"/>
        </w:tabs>
        <w:spacing w:after="200" w:line="276" w:lineRule="auto"/>
        <w:ind w:left="1134" w:right="-1" w:hanging="425"/>
        <w:jc w:val="both"/>
        <w:rPr>
          <w:b/>
          <w:bCs/>
          <w:spacing w:val="-12"/>
          <w:kern w:val="36"/>
        </w:rPr>
      </w:pPr>
      <w:proofErr w:type="gramStart"/>
      <w:r w:rsidRPr="00E56451">
        <w:rPr>
          <w:b/>
        </w:rPr>
        <w:t>9 -</w:t>
      </w:r>
      <w:proofErr w:type="gramEnd"/>
      <w:r w:rsidRPr="00E56451">
        <w:rPr>
          <w:b/>
        </w:rPr>
        <w:t xml:space="preserve"> </w:t>
      </w:r>
      <w:r w:rsidRPr="00E56451">
        <w:rPr>
          <w:b/>
          <w:bCs/>
          <w:spacing w:val="-12"/>
          <w:kern w:val="36"/>
        </w:rPr>
        <w:t>Tehlikeli Atıkların Sınır Aşırı Taşınması ve Bertaraf Edilmesinin Kontrolüne İlişkin Basel Sözleşmesi</w:t>
      </w:r>
    </w:p>
    <w:p w14:paraId="465CDB9F" w14:textId="77777777" w:rsidR="00024018" w:rsidRDefault="00024018" w:rsidP="00024018">
      <w:pPr>
        <w:spacing w:after="240" w:line="360" w:lineRule="auto"/>
        <w:ind w:firstLine="709"/>
        <w:jc w:val="both"/>
      </w:pPr>
      <w:r w:rsidRPr="00E56451">
        <w:t>1989 yılında kabul edilen</w:t>
      </w:r>
      <w:r w:rsidRPr="0096425A">
        <w:t xml:space="preserve"> ve 1992 yılında yürürlüğe giren Basel Sözleşmesi’nin amacı, tehlikeli ve diğer atıkların sınır aşırı taşınması, bertaraf edilmesi ve geri dönüşümünden doğabilecek tehlikeleri ortadan kaldırmaktır. Atıkların, sanayileşmiş ülkelerden gelişmekte olan ülkelere doğru taşınması, Sözleşme’nin üzerinde durduğu en </w:t>
      </w:r>
      <w:r>
        <w:t xml:space="preserve">önemli unsuru oluşturmaktadır. </w:t>
      </w:r>
    </w:p>
    <w:p w14:paraId="73623B06" w14:textId="77777777" w:rsidR="00024018" w:rsidRDefault="00024018" w:rsidP="00024018">
      <w:pPr>
        <w:spacing w:after="200" w:line="276" w:lineRule="auto"/>
      </w:pPr>
      <w:r>
        <w:br w:type="page"/>
      </w:r>
    </w:p>
    <w:p w14:paraId="34AA74D5" w14:textId="77777777" w:rsidR="005315EA" w:rsidRDefault="00024018">
      <w:bookmarkStart w:id="0" w:name="_GoBack"/>
      <w:bookmarkEnd w:id="0"/>
    </w:p>
    <w:sectPr w:rsidR="005315EA" w:rsidSect="00F77B5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AF7"/>
    <w:rsid w:val="00024018"/>
    <w:rsid w:val="00397932"/>
    <w:rsid w:val="00403C95"/>
    <w:rsid w:val="0067306D"/>
    <w:rsid w:val="006E4AF7"/>
    <w:rsid w:val="00F7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B6938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4018"/>
    <w:rPr>
      <w:rFonts w:ascii="Times New Roman" w:eastAsia="Times New Roman" w:hAnsi="Times New Roman" w:cs="Times New Roman"/>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615</Words>
  <Characters>3512</Characters>
  <Application>Microsoft Macintosh Word</Application>
  <DocSecurity>0</DocSecurity>
  <Lines>29</Lines>
  <Paragraphs>8</Paragraphs>
  <ScaleCrop>false</ScaleCrop>
  <LinksUpToDate>false</LinksUpToDate>
  <CharactersWithSpaces>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mustafabaskara@yahoo.com</dc:creator>
  <cp:keywords/>
  <dc:description/>
  <cp:lastModifiedBy>mustafabaskara@yahoo.com</cp:lastModifiedBy>
  <cp:revision>2</cp:revision>
  <dcterms:created xsi:type="dcterms:W3CDTF">2017-11-22T17:31:00Z</dcterms:created>
  <dcterms:modified xsi:type="dcterms:W3CDTF">2017-11-22T17:43:00Z</dcterms:modified>
</cp:coreProperties>
</file>