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87DDF" w:rsidRDefault="00287DDF" w:rsidP="00287DDF">
      <w:pPr>
        <w:spacing w:after="240" w:line="360" w:lineRule="auto"/>
        <w:ind w:left="708"/>
        <w:jc w:val="center"/>
        <w:rPr>
          <w:rFonts w:ascii="Times New Roman" w:hAnsi="Times New Roman" w:cs="Times New Roman"/>
          <w:b/>
          <w:sz w:val="24"/>
          <w:szCs w:val="24"/>
        </w:rPr>
      </w:pPr>
      <w:r>
        <w:rPr>
          <w:rFonts w:ascii="Times New Roman" w:hAnsi="Times New Roman" w:cs="Times New Roman"/>
          <w:b/>
          <w:sz w:val="24"/>
          <w:szCs w:val="24"/>
        </w:rPr>
        <w:t xml:space="preserve">DSH </w:t>
      </w:r>
      <w:r>
        <w:rPr>
          <w:rFonts w:ascii="Times New Roman" w:hAnsi="Times New Roman" w:cs="Times New Roman"/>
          <w:b/>
          <w:sz w:val="24"/>
          <w:szCs w:val="24"/>
        </w:rPr>
        <w:t>I. HAFTA</w:t>
      </w:r>
    </w:p>
    <w:p w:rsidR="00287DDF" w:rsidRPr="00387A1A" w:rsidRDefault="00287DDF" w:rsidP="00287DDF">
      <w:pPr>
        <w:spacing w:after="240" w:line="360" w:lineRule="auto"/>
        <w:ind w:firstLine="851"/>
        <w:rPr>
          <w:rFonts w:ascii="Times New Roman" w:hAnsi="Times New Roman" w:cs="Times New Roman"/>
          <w:b/>
          <w:sz w:val="24"/>
          <w:szCs w:val="24"/>
        </w:rPr>
      </w:pPr>
      <w:r w:rsidRPr="00387A1A">
        <w:rPr>
          <w:rFonts w:ascii="Times New Roman" w:hAnsi="Times New Roman" w:cs="Times New Roman"/>
          <w:b/>
          <w:sz w:val="24"/>
          <w:szCs w:val="24"/>
        </w:rPr>
        <w:t>GENEL OLARAK</w:t>
      </w:r>
    </w:p>
    <w:p w:rsidR="00287DDF" w:rsidRPr="00387A1A" w:rsidRDefault="00287DDF" w:rsidP="00287DDF">
      <w:pPr>
        <w:spacing w:after="240" w:line="360" w:lineRule="auto"/>
        <w:ind w:firstLine="851"/>
        <w:jc w:val="both"/>
        <w:rPr>
          <w:rFonts w:ascii="Times New Roman" w:hAnsi="Times New Roman" w:cs="Times New Roman"/>
          <w:sz w:val="24"/>
          <w:szCs w:val="24"/>
        </w:rPr>
      </w:pPr>
      <w:r w:rsidRPr="00387A1A">
        <w:rPr>
          <w:rFonts w:ascii="Times New Roman" w:hAnsi="Times New Roman" w:cs="Times New Roman"/>
          <w:sz w:val="24"/>
          <w:szCs w:val="24"/>
        </w:rPr>
        <w:t>Sigorta Hukuku, sigorta ilişkisini ve sigortacılıkla uğraşan müesseselerin çalışmalarını düzenleyen hukuk kurallarının bütünün</w:t>
      </w:r>
      <w:r>
        <w:rPr>
          <w:rFonts w:ascii="Times New Roman" w:hAnsi="Times New Roman" w:cs="Times New Roman"/>
          <w:sz w:val="24"/>
          <w:szCs w:val="24"/>
        </w:rPr>
        <w:t xml:space="preserve">ü </w:t>
      </w:r>
      <w:r w:rsidRPr="00387A1A">
        <w:rPr>
          <w:rFonts w:ascii="Times New Roman" w:hAnsi="Times New Roman" w:cs="Times New Roman"/>
          <w:sz w:val="24"/>
          <w:szCs w:val="24"/>
        </w:rPr>
        <w:t xml:space="preserve">bir sistem içinde inceleyen hukuk dalıdır. Sigorta, </w:t>
      </w:r>
      <w:r>
        <w:rPr>
          <w:rFonts w:ascii="Times New Roman" w:hAnsi="Times New Roman" w:cs="Times New Roman"/>
          <w:sz w:val="24"/>
          <w:szCs w:val="24"/>
        </w:rPr>
        <w:t>kişilerin</w:t>
      </w:r>
      <w:r w:rsidRPr="00387A1A">
        <w:rPr>
          <w:rFonts w:ascii="Times New Roman" w:hAnsi="Times New Roman" w:cs="Times New Roman"/>
          <w:sz w:val="24"/>
          <w:szCs w:val="24"/>
        </w:rPr>
        <w:t xml:space="preserve"> hayatta bazı şartlar altında karşılaşacakları zarar ve masrafa neden olan olayların ekonomik sonuçlarından kendilerini korumak için önceden tedbir alma ihtiyaçlarından doğmuştur.</w:t>
      </w:r>
    </w:p>
    <w:p w:rsidR="00287DDF" w:rsidRPr="00387A1A" w:rsidRDefault="00287DDF" w:rsidP="00287DDF">
      <w:pPr>
        <w:spacing w:after="240" w:line="360" w:lineRule="auto"/>
        <w:ind w:firstLine="851"/>
        <w:jc w:val="both"/>
        <w:rPr>
          <w:rFonts w:ascii="Times New Roman" w:hAnsi="Times New Roman" w:cs="Times New Roman"/>
          <w:b/>
          <w:sz w:val="24"/>
          <w:szCs w:val="24"/>
        </w:rPr>
      </w:pPr>
      <w:r w:rsidRPr="00387A1A">
        <w:rPr>
          <w:rFonts w:ascii="Times New Roman" w:hAnsi="Times New Roman" w:cs="Times New Roman"/>
          <w:b/>
          <w:sz w:val="24"/>
          <w:szCs w:val="24"/>
        </w:rPr>
        <w:t>SİGORTANIN TARİHİ</w:t>
      </w:r>
    </w:p>
    <w:p w:rsidR="00287DDF" w:rsidRPr="00387A1A" w:rsidRDefault="00287DDF" w:rsidP="00287DDF">
      <w:pPr>
        <w:spacing w:after="240" w:line="360" w:lineRule="auto"/>
        <w:ind w:firstLine="851"/>
        <w:jc w:val="both"/>
        <w:rPr>
          <w:rFonts w:ascii="Times New Roman" w:hAnsi="Times New Roman" w:cs="Times New Roman"/>
          <w:color w:val="000000"/>
          <w:sz w:val="24"/>
          <w:szCs w:val="24"/>
        </w:rPr>
      </w:pPr>
      <w:r w:rsidRPr="00387A1A">
        <w:rPr>
          <w:rFonts w:ascii="Times New Roman" w:hAnsi="Times New Roman" w:cs="Times New Roman"/>
          <w:sz w:val="24"/>
          <w:szCs w:val="24"/>
        </w:rPr>
        <w:t xml:space="preserve">Bugünkü </w:t>
      </w:r>
      <w:r w:rsidRPr="00387A1A">
        <w:rPr>
          <w:rFonts w:ascii="Times New Roman" w:hAnsi="Times New Roman" w:cs="Times New Roman"/>
          <w:color w:val="000000"/>
          <w:sz w:val="24"/>
          <w:szCs w:val="24"/>
        </w:rPr>
        <w:t xml:space="preserve">anlamda sabit primli sigortanın tarihsel gelişimi, aynı zamanda deniz sigortalarının da tarihsel gelişimidir. Zira sabit primli sigorta, ilk kez 14. yüzyılda denizcilik rizikolarına karşı sigortalar şeklinde İtalya’da ortaya çıkmış ve gelişmiştir. Deniz sigortaları, 17. yüzyıl sonlarından itibaren gelişen ve yaygınlaşan kara sigortalarına da örnek teşkil etmiştir. </w:t>
      </w:r>
    </w:p>
    <w:p w:rsidR="00287DDF" w:rsidRPr="00387A1A"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t xml:space="preserve">Deniz ticareti alanında bilinen ilk tehlike birlikteliği, Rodos Kuralları ile düzenlenmiştir. Günümüz müşterek avarya kurumunun kaynağı olan Rodos Kuralları ile geminin ve yükün deniz tehlikesinden kurtarılması amacıyla denize mal atılmasından ileri gelen zararların gemi ve yük </w:t>
      </w:r>
      <w:proofErr w:type="spellStart"/>
      <w:r w:rsidRPr="00387A1A">
        <w:rPr>
          <w:rFonts w:ascii="Times New Roman" w:hAnsi="Times New Roman" w:cs="Times New Roman"/>
        </w:rPr>
        <w:t>mâliki</w:t>
      </w:r>
      <w:proofErr w:type="spellEnd"/>
      <w:r w:rsidRPr="00387A1A">
        <w:rPr>
          <w:rFonts w:ascii="Times New Roman" w:hAnsi="Times New Roman" w:cs="Times New Roman"/>
        </w:rPr>
        <w:t xml:space="preserve"> arasında paylaşılacağı kabul edilmiştir. </w:t>
      </w:r>
    </w:p>
    <w:p w:rsidR="00287DDF"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t xml:space="preserve">Deniz ticaretinin risklerine karşı teminat gereksinimi, dolaylı olarak deniz ödüncü sözleşmesi ile karşılanmıştır. Deniz ödüncü sözleşmesi gereğince geminin sözleşme konusu yolculuğu tamamlayamaması (batması) halinde ödünç alanın ödüncü ve kararlaştırılan faizi ödeme borcu sona erdiğinden, denizcilik rizikoları (bu rizikolara maruz bulunmayan) ödünç veren tarafından üstlenilmiş oluyordu. </w:t>
      </w:r>
    </w:p>
    <w:p w:rsidR="00287DDF" w:rsidRPr="00387A1A"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t xml:space="preserve">Papa IX. </w:t>
      </w:r>
      <w:proofErr w:type="spellStart"/>
      <w:r w:rsidRPr="00387A1A">
        <w:rPr>
          <w:rFonts w:ascii="Times New Roman" w:hAnsi="Times New Roman" w:cs="Times New Roman"/>
        </w:rPr>
        <w:t>Gregor</w:t>
      </w:r>
      <w:proofErr w:type="spellEnd"/>
      <w:r w:rsidRPr="00387A1A">
        <w:rPr>
          <w:rFonts w:ascii="Times New Roman" w:hAnsi="Times New Roman" w:cs="Times New Roman"/>
        </w:rPr>
        <w:t xml:space="preserve"> döneminde yürürlüğe konan 1230 tarihli Kanunla tefecilik ve tefeci faizinin yasaklanması, deniz ödüncü sözleşmesi ve faizinin de bu yasak kapsamına dâhil edilmesi sonucu, deniz ödüncü uygulaması ortadan kalkmış; teminat gereksinimi satış veya faizsiz ödünç sözleşmesi şeklinde akdedilen sözleşmeler ya da taşıma sözleşmeleri ile karşılanmıştır. Bu sözleşmelere taşıyanın, satıcının ya da ödünç verenin denizcilik rizikolarını üstlendiğine dair ek şart konmak suretiyle denizcilik rizikolarına karşı teminat sağlanmıştır. </w:t>
      </w:r>
    </w:p>
    <w:p w:rsidR="00287DDF" w:rsidRPr="00387A1A"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lastRenderedPageBreak/>
        <w:t xml:space="preserve">Sigortanın tam olarak ne zaman ve nasıl ortaya çıktığı konusunda farklı görüşler ileri sürülmüş olmakla birlikte, 14. yüzyıl sonlarında görülen ve denizcilik rizikolarının sebebiyet verebileceği zararlara karşı teminat elde etmek amacıyla akdedilen sözleşmelerin, şekil ve içerik itibariyle sigorta sözleşmesi olduğu tartışmasızdır. </w:t>
      </w:r>
    </w:p>
    <w:p w:rsidR="00287DDF" w:rsidRPr="00387A1A"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t xml:space="preserve">İlk kez 16. yüzyılın ikinci yarısında sigortalının sigorta tazminatını talep edebilmesi için bir menfaatinin bulunduğunu ispat etmesi gerektiğinden söz edilmiş; daha sonra sigortalanabilir menfaat, sigortayı bahisten ayıran temel unsur ve sigorta sözleşmesinin geçerlilik şartı olarak kabul edilmiştir. </w:t>
      </w:r>
    </w:p>
    <w:p w:rsidR="00287DDF" w:rsidRPr="00387A1A"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t>Deniz sigortaları, 15. ve 16. yüzyıllarda İtalyan tüccarlar vasıtasıyla İspanya, Fransa, Portekiz, Hollanda, İngiltere ve kuzey Almanya’ya yayılmış; kısa bir süre sonra da deniz sigortaları hakkında ayrıntılı düzenlemeler getirilmeye başlanmıştır. İlk yasal düzenlemelerde ağırlıklı olarak mevcut ticari teamüller esas alınmıştır. Dolayısıyla deniz sigortalarının temel ilkeleri esas itibar</w:t>
      </w:r>
      <w:r>
        <w:rPr>
          <w:rFonts w:ascii="Times New Roman" w:hAnsi="Times New Roman" w:cs="Times New Roman"/>
        </w:rPr>
        <w:t>ı</w:t>
      </w:r>
      <w:r w:rsidRPr="00387A1A">
        <w:rPr>
          <w:rFonts w:ascii="Times New Roman" w:hAnsi="Times New Roman" w:cs="Times New Roman"/>
        </w:rPr>
        <w:t>yl</w:t>
      </w:r>
      <w:r>
        <w:rPr>
          <w:rFonts w:ascii="Times New Roman" w:hAnsi="Times New Roman" w:cs="Times New Roman"/>
        </w:rPr>
        <w:t>a</w:t>
      </w:r>
      <w:r w:rsidRPr="00387A1A">
        <w:rPr>
          <w:rFonts w:ascii="Times New Roman" w:hAnsi="Times New Roman" w:cs="Times New Roman"/>
        </w:rPr>
        <w:t xml:space="preserve"> uygulama tarafından belirlenmiştir. İngiltere’de deniz sigortalarına ilişkin ilk kanun 1601 tarihlidir. Almanya’da deniz sigortaları hakkında ilk düzenleme 1731 tarihli Hamburg Sigorta ve Avarya Kanunu ile getirilmiştir. </w:t>
      </w:r>
    </w:p>
    <w:p w:rsidR="00287DDF" w:rsidRPr="00387A1A"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t>17.yüzyılın ikinci yarısında sigortacılığın gelişmesine yol açan iki önemli olay olmuştur. İlki sigortacılıkta istatistik metot</w:t>
      </w:r>
      <w:r>
        <w:rPr>
          <w:rStyle w:val="DipnotBavurusu"/>
          <w:rFonts w:ascii="Times New Roman" w:hAnsi="Times New Roman" w:cs="Times New Roman"/>
        </w:rPr>
        <w:footnoteReference w:id="1"/>
      </w:r>
      <w:r w:rsidRPr="00387A1A">
        <w:rPr>
          <w:rFonts w:ascii="Times New Roman" w:hAnsi="Times New Roman" w:cs="Times New Roman"/>
        </w:rPr>
        <w:t xml:space="preserve"> ve tekniğinin uygulanmaya başlaması, ikincisi ise 2.9.1666 tarihinde Londra’da meydana gelen ve dört gün sürerek 13.000 evle 100 kilisenin kül olmasına yol açan büyük yangındır. </w:t>
      </w:r>
    </w:p>
    <w:p w:rsidR="00287DDF" w:rsidRDefault="00287DDF" w:rsidP="00287DDF">
      <w:pPr>
        <w:pStyle w:val="Default"/>
        <w:spacing w:after="240" w:line="360" w:lineRule="auto"/>
        <w:ind w:firstLine="851"/>
        <w:jc w:val="both"/>
        <w:rPr>
          <w:rFonts w:ascii="Times New Roman" w:hAnsi="Times New Roman" w:cs="Times New Roman"/>
        </w:rPr>
      </w:pPr>
      <w:r w:rsidRPr="00387A1A">
        <w:rPr>
          <w:rFonts w:ascii="Times New Roman" w:hAnsi="Times New Roman" w:cs="Times New Roman"/>
        </w:rPr>
        <w:t xml:space="preserve">1688 yılında İngiltere’de </w:t>
      </w:r>
      <w:proofErr w:type="spellStart"/>
      <w:r w:rsidRPr="00387A1A">
        <w:rPr>
          <w:rFonts w:ascii="Times New Roman" w:hAnsi="Times New Roman" w:cs="Times New Roman"/>
        </w:rPr>
        <w:t>Lloyd’s’un</w:t>
      </w:r>
      <w:proofErr w:type="spellEnd"/>
      <w:r w:rsidRPr="00387A1A">
        <w:rPr>
          <w:rFonts w:ascii="Times New Roman" w:hAnsi="Times New Roman" w:cs="Times New Roman"/>
        </w:rPr>
        <w:t xml:space="preserve"> temellerinin atılmasıyla sigortacılıkta yeni bir dönem başlamıştır. Edward Lloyd isimli bir şahsın işlettiği Londra’daki bir kahvehane, gemi sahipleri, iş adamları ve tüccarların deniz ticaretine ilişkin bilgi alışverişinde bulundukları mekân olmuştur. </w:t>
      </w:r>
    </w:p>
    <w:p w:rsidR="00287DDF" w:rsidRPr="00FD0707" w:rsidRDefault="00287DDF" w:rsidP="00287DDF">
      <w:pPr>
        <w:spacing w:after="240" w:line="360" w:lineRule="auto"/>
        <w:ind w:firstLine="851"/>
        <w:jc w:val="both"/>
        <w:rPr>
          <w:rFonts w:ascii="Times New Roman" w:hAnsi="Times New Roman" w:cs="Times New Roman"/>
          <w:b/>
          <w:sz w:val="24"/>
          <w:szCs w:val="24"/>
        </w:rPr>
      </w:pPr>
      <w:r w:rsidRPr="00FD0707">
        <w:rPr>
          <w:rFonts w:ascii="Times New Roman" w:hAnsi="Times New Roman" w:cs="Times New Roman"/>
          <w:b/>
          <w:sz w:val="24"/>
          <w:szCs w:val="24"/>
        </w:rPr>
        <w:t xml:space="preserve">TÜRKİYE’DE </w:t>
      </w:r>
      <w:r>
        <w:rPr>
          <w:rFonts w:ascii="Times New Roman" w:hAnsi="Times New Roman" w:cs="Times New Roman"/>
          <w:b/>
          <w:sz w:val="24"/>
          <w:szCs w:val="24"/>
        </w:rPr>
        <w:t xml:space="preserve">DENİZ </w:t>
      </w:r>
      <w:r w:rsidRPr="00FD0707">
        <w:rPr>
          <w:rFonts w:ascii="Times New Roman" w:hAnsi="Times New Roman" w:cs="Times New Roman"/>
          <w:b/>
          <w:sz w:val="24"/>
          <w:szCs w:val="24"/>
        </w:rPr>
        <w:t>SİGORTA HUKUKU</w:t>
      </w:r>
    </w:p>
    <w:p w:rsidR="00287DDF" w:rsidRDefault="00287DDF" w:rsidP="00287DDF">
      <w:pPr>
        <w:spacing w:after="240" w:line="360" w:lineRule="auto"/>
        <w:ind w:firstLine="851"/>
        <w:jc w:val="both"/>
        <w:rPr>
          <w:rFonts w:ascii="Times New Roman" w:hAnsi="Times New Roman" w:cs="Times New Roman"/>
          <w:sz w:val="24"/>
          <w:szCs w:val="24"/>
        </w:rPr>
      </w:pPr>
      <w:r w:rsidRPr="007474F0">
        <w:rPr>
          <w:rFonts w:ascii="Times New Roman" w:hAnsi="Times New Roman" w:cs="Times New Roman"/>
          <w:sz w:val="24"/>
          <w:szCs w:val="24"/>
        </w:rPr>
        <w:lastRenderedPageBreak/>
        <w:t>Türkiye’de sigortacılık</w:t>
      </w:r>
      <w:r>
        <w:rPr>
          <w:rFonts w:ascii="Times New Roman" w:hAnsi="Times New Roman" w:cs="Times New Roman"/>
          <w:sz w:val="24"/>
          <w:szCs w:val="24"/>
        </w:rPr>
        <w:t xml:space="preserve"> 19. yüzyıl sonlarında başlamıştır. 1870 yılındaki Beyoğlu yangınında meydana gelen hasar ve zarar, sigorta düşüncesinin yerleşmesine ve ilk sigorta şirketlerinin kurulmasına neden olmuştur.</w:t>
      </w:r>
      <w:r w:rsidRPr="007474F0">
        <w:rPr>
          <w:rFonts w:ascii="Times New Roman" w:hAnsi="Times New Roman" w:cs="Times New Roman"/>
          <w:sz w:val="24"/>
          <w:szCs w:val="24"/>
        </w:rPr>
        <w:t xml:space="preserve"> 1864 tarihli Ticaret-i Bahriye Kanunu’nun 11. faslında yer alan hükümlerle ilk kez deniz sigortaları düzenlenmiştir.</w:t>
      </w:r>
      <w:r>
        <w:rPr>
          <w:rFonts w:ascii="Times New Roman" w:hAnsi="Times New Roman" w:cs="Times New Roman"/>
          <w:sz w:val="24"/>
          <w:szCs w:val="24"/>
        </w:rPr>
        <w:t xml:space="preserve"> Bu hükümler uzun süre kara sigortalarına da uygulanmıştır. Sonradan 1906’da Ticaret-i Bahriye Kanunu’nun üçüncü eki olarak yayımlanan 25 maddeden ibaret bir kanunla kara sigortalarına dair hükümler ihdas edilmiştir. </w:t>
      </w:r>
    </w:p>
    <w:p w:rsidR="00287DDF" w:rsidRDefault="00287DDF" w:rsidP="00287D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Gerek kara, gerekse deniz sigortalarına dair hükümler sigortacılığın büyük ölçüde yabancı şirketlerin elinde olması sebebiyle pek uygulama alanı bulamamıştır. Kapitülasyonlardan faydalanan yabancı şirketler her türlü denetimden uzak ve keyfi şekilde çalışmaya devam etmişlerdir. Bu yabancı sigorta şirketlerini kontrol etmek amacıyla 1914 yılında bir Kanun çıkartılmıştır. </w:t>
      </w:r>
    </w:p>
    <w:p w:rsidR="00287DDF" w:rsidRDefault="00287DDF" w:rsidP="00287D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İlk olarak 26 Mayıs 1926 tarihli ve </w:t>
      </w:r>
      <w:r w:rsidRPr="00672D5D">
        <w:rPr>
          <w:rFonts w:ascii="Times New Roman" w:hAnsi="Times New Roman" w:cs="Times New Roman"/>
          <w:color w:val="00060A"/>
          <w:sz w:val="24"/>
          <w:szCs w:val="24"/>
        </w:rPr>
        <w:t>865 sayılı Ticaret Kanunu</w:t>
      </w:r>
      <w:r>
        <w:rPr>
          <w:rFonts w:ascii="Times New Roman" w:hAnsi="Times New Roman" w:cs="Times New Roman"/>
          <w:sz w:val="24"/>
          <w:szCs w:val="24"/>
        </w:rPr>
        <w:t xml:space="preserve">’nda düzenlenen sigorta hukukuna ilişkin hükümler, yerini daha sonra 1956 tarihli ve 6762 sayılı </w:t>
      </w:r>
      <w:proofErr w:type="spellStart"/>
      <w:r>
        <w:rPr>
          <w:rFonts w:ascii="Times New Roman" w:hAnsi="Times New Roman" w:cs="Times New Roman"/>
          <w:sz w:val="24"/>
          <w:szCs w:val="24"/>
        </w:rPr>
        <w:t>TTK’nun</w:t>
      </w:r>
      <w:proofErr w:type="spellEnd"/>
      <w:r>
        <w:rPr>
          <w:rFonts w:ascii="Times New Roman" w:hAnsi="Times New Roman" w:cs="Times New Roman"/>
          <w:sz w:val="24"/>
          <w:szCs w:val="24"/>
        </w:rPr>
        <w:t xml:space="preserve"> 5. Kitabı almıştır.  </w:t>
      </w:r>
    </w:p>
    <w:p w:rsidR="00287DDF" w:rsidRDefault="00287DDF" w:rsidP="00287D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01.01.1957’de yürürlüğe giren 6762 sayılı </w:t>
      </w:r>
      <w:proofErr w:type="spellStart"/>
      <w:r>
        <w:rPr>
          <w:rFonts w:ascii="Times New Roman" w:hAnsi="Times New Roman" w:cs="Times New Roman"/>
          <w:sz w:val="24"/>
          <w:szCs w:val="24"/>
        </w:rPr>
        <w:t>TTK’nun</w:t>
      </w:r>
      <w:proofErr w:type="spellEnd"/>
      <w:r>
        <w:rPr>
          <w:rFonts w:ascii="Times New Roman" w:hAnsi="Times New Roman" w:cs="Times New Roman"/>
          <w:sz w:val="24"/>
          <w:szCs w:val="24"/>
        </w:rPr>
        <w:t xml:space="preserve"> 5. Kitabı “Sigorta Hukuku” başlığını taşımakta idi. 03.06.2007 tarihli ve 5684 sayılı Sigortacılık Kanunu da sigorta şirketlerinin ve sigortacılığın denetimini sağlamaktadır. </w:t>
      </w:r>
    </w:p>
    <w:p w:rsidR="00287DDF" w:rsidRDefault="00287DDF" w:rsidP="00287DDF">
      <w:pPr>
        <w:spacing w:after="24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01.07.2012 tarihinde yürürlüğe giren 6102 sayılı </w:t>
      </w:r>
      <w:proofErr w:type="spellStart"/>
      <w:r>
        <w:rPr>
          <w:rFonts w:ascii="Times New Roman" w:hAnsi="Times New Roman" w:cs="Times New Roman"/>
          <w:sz w:val="24"/>
          <w:szCs w:val="24"/>
        </w:rPr>
        <w:t>TTK’nun</w:t>
      </w:r>
      <w:proofErr w:type="spellEnd"/>
      <w:r>
        <w:rPr>
          <w:rFonts w:ascii="Times New Roman" w:hAnsi="Times New Roman" w:cs="Times New Roman"/>
          <w:sz w:val="24"/>
          <w:szCs w:val="24"/>
        </w:rPr>
        <w:t xml:space="preserve"> 6. Kitabı, Sigorta Hukukunu düzenlemektedir.   </w:t>
      </w:r>
    </w:p>
    <w:p w:rsidR="0084449D" w:rsidRPr="00287DDF" w:rsidRDefault="0084449D">
      <w:pPr>
        <w:rPr>
          <w:rFonts w:ascii="Times New Roman" w:hAnsi="Times New Roman" w:cs="Times New Roman"/>
          <w:sz w:val="24"/>
          <w:szCs w:val="24"/>
        </w:rPr>
      </w:pPr>
      <w:bookmarkStart w:id="0" w:name="_GoBack"/>
      <w:bookmarkEnd w:id="0"/>
    </w:p>
    <w:sectPr w:rsidR="0084449D" w:rsidRPr="00287DDF">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B73E5" w:rsidRDefault="00EB73E5" w:rsidP="00287DDF">
      <w:pPr>
        <w:spacing w:after="0" w:line="240" w:lineRule="auto"/>
      </w:pPr>
      <w:r>
        <w:separator/>
      </w:r>
    </w:p>
  </w:endnote>
  <w:endnote w:type="continuationSeparator" w:id="0">
    <w:p w:rsidR="00EB73E5" w:rsidRDefault="00EB73E5" w:rsidP="00287DD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A2"/>
    <w:family w:val="swiss"/>
    <w:pitch w:val="variable"/>
    <w:sig w:usb0="E0002A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Arial">
    <w:panose1 w:val="020B0604020202020204"/>
    <w:charset w:val="A2"/>
    <w:family w:val="swiss"/>
    <w:pitch w:val="variable"/>
    <w:sig w:usb0="E0002E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B73E5" w:rsidRDefault="00EB73E5" w:rsidP="00287DDF">
      <w:pPr>
        <w:spacing w:after="0" w:line="240" w:lineRule="auto"/>
      </w:pPr>
      <w:r>
        <w:separator/>
      </w:r>
    </w:p>
  </w:footnote>
  <w:footnote w:type="continuationSeparator" w:id="0">
    <w:p w:rsidR="00EB73E5" w:rsidRDefault="00EB73E5" w:rsidP="00287DDF">
      <w:pPr>
        <w:spacing w:after="0" w:line="240" w:lineRule="auto"/>
      </w:pPr>
      <w:r>
        <w:continuationSeparator/>
      </w:r>
    </w:p>
  </w:footnote>
  <w:footnote w:id="1">
    <w:p w:rsidR="00287DDF" w:rsidRPr="001C29CE" w:rsidRDefault="00287DDF" w:rsidP="00287DDF">
      <w:pPr>
        <w:pStyle w:val="ListeParagraf"/>
        <w:ind w:left="426" w:hanging="426"/>
        <w:jc w:val="both"/>
        <w:rPr>
          <w:rFonts w:ascii="Times New Roman" w:hAnsi="Times New Roman"/>
        </w:rPr>
      </w:pPr>
      <w:r w:rsidRPr="001C29CE">
        <w:rPr>
          <w:rStyle w:val="DipnotBavurusu"/>
          <w:rFonts w:ascii="Times New Roman" w:hAnsi="Times New Roman" w:cs="Times New Roman"/>
        </w:rPr>
        <w:footnoteRef/>
      </w:r>
      <w:r w:rsidRPr="001C29CE">
        <w:rPr>
          <w:rFonts w:ascii="Times New Roman" w:hAnsi="Times New Roman" w:cs="Times New Roman"/>
        </w:rPr>
        <w:t xml:space="preserve"> </w:t>
      </w:r>
      <w:r w:rsidRPr="001C29CE">
        <w:rPr>
          <w:rFonts w:ascii="Times New Roman" w:hAnsi="Times New Roman" w:cs="Times New Roman"/>
        </w:rPr>
        <w:tab/>
      </w:r>
      <w:r w:rsidRPr="001C29CE">
        <w:rPr>
          <w:rFonts w:ascii="Times New Roman" w:hAnsi="Times New Roman" w:cs="Times New Roman"/>
          <w:b/>
          <w:bCs/>
        </w:rPr>
        <w:t>Büyük Sayılar Kanunu:</w:t>
      </w:r>
      <w:r w:rsidRPr="001C29CE">
        <w:rPr>
          <w:rFonts w:ascii="Times New Roman" w:hAnsi="Times New Roman" w:cs="Times New Roman"/>
        </w:rPr>
        <w:t xml:space="preserve"> Eldeki riziko sayısı arttıkça,  hasar oranının, o olaya ilişkin genel hasar olasılığı yüzdesine daha çok yaklaşacağını öngören istatistik prensibidir. Sigorta şirketi için büyük sayılar kanunu, daha çok sayıda örnek incelenirse daha gerçekçi tahmin yürütme şansının olması anlamına gelmektedir. Tahminin yapıldığı birimler ne kadar büyürse, gerçek deneyimin doğru olasılık tahminine o kadar yaklaşmasını bekleriz. B</w:t>
      </w:r>
      <w:r w:rsidRPr="001C29CE">
        <w:rPr>
          <w:rFonts w:ascii="Times New Roman" w:hAnsi="Times New Roman"/>
        </w:rPr>
        <w:t xml:space="preserve">u teoriye göre, sigorta şirketleri tarafından teminat verilen rizikoların sayısı arttıkça gerçekleşecek sonuçların beklenen değere yaklaşması ihtimalinin artması beklenmektedir. </w:t>
      </w:r>
    </w:p>
    <w:p w:rsidR="00287DDF" w:rsidRPr="001C29CE" w:rsidRDefault="00287DDF" w:rsidP="00287DDF">
      <w:pPr>
        <w:pStyle w:val="DipnotMetni"/>
        <w:ind w:left="426" w:hanging="426"/>
        <w:jc w:val="both"/>
        <w:rPr>
          <w:rFonts w:ascii="Times New Roman" w:hAnsi="Times New Roman" w:cs="Times New Roman"/>
          <w:sz w:val="22"/>
          <w:szCs w:val="22"/>
        </w:rPr>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E0819"/>
    <w:rsid w:val="001E0819"/>
    <w:rsid w:val="00287DDF"/>
    <w:rsid w:val="0084449D"/>
    <w:rsid w:val="00EB73E5"/>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D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87DDF"/>
    <w:pPr>
      <w:ind w:left="720"/>
      <w:contextualSpacing/>
    </w:pPr>
  </w:style>
  <w:style w:type="paragraph" w:customStyle="1" w:styleId="Default">
    <w:name w:val="Default"/>
    <w:rsid w:val="00287DDF"/>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DipnotMetni">
    <w:name w:val="footnote text"/>
    <w:basedOn w:val="Normal"/>
    <w:link w:val="DipnotMetniChar"/>
    <w:uiPriority w:val="99"/>
    <w:semiHidden/>
    <w:unhideWhenUsed/>
    <w:rsid w:val="00287DD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87DDF"/>
    <w:rPr>
      <w:rFonts w:eastAsiaTheme="minorEastAsia"/>
      <w:sz w:val="20"/>
      <w:szCs w:val="20"/>
      <w:lang w:eastAsia="tr-TR"/>
    </w:rPr>
  </w:style>
  <w:style w:type="character" w:styleId="DipnotBavurusu">
    <w:name w:val="footnote reference"/>
    <w:basedOn w:val="VarsaylanParagrafYazTipi"/>
    <w:uiPriority w:val="99"/>
    <w:semiHidden/>
    <w:unhideWhenUsed/>
    <w:rsid w:val="00287DDF"/>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87DDF"/>
    <w:rPr>
      <w:rFonts w:eastAsiaTheme="minorEastAsia"/>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99"/>
    <w:qFormat/>
    <w:rsid w:val="00287DDF"/>
    <w:pPr>
      <w:ind w:left="720"/>
      <w:contextualSpacing/>
    </w:pPr>
  </w:style>
  <w:style w:type="paragraph" w:customStyle="1" w:styleId="Default">
    <w:name w:val="Default"/>
    <w:rsid w:val="00287DDF"/>
    <w:pPr>
      <w:autoSpaceDE w:val="0"/>
      <w:autoSpaceDN w:val="0"/>
      <w:adjustRightInd w:val="0"/>
      <w:spacing w:after="0" w:line="240" w:lineRule="auto"/>
    </w:pPr>
    <w:rPr>
      <w:rFonts w:ascii="Arial" w:eastAsiaTheme="minorEastAsia" w:hAnsi="Arial" w:cs="Arial"/>
      <w:color w:val="000000"/>
      <w:sz w:val="24"/>
      <w:szCs w:val="24"/>
      <w:lang w:eastAsia="tr-TR"/>
    </w:rPr>
  </w:style>
  <w:style w:type="paragraph" w:styleId="DipnotMetni">
    <w:name w:val="footnote text"/>
    <w:basedOn w:val="Normal"/>
    <w:link w:val="DipnotMetniChar"/>
    <w:uiPriority w:val="99"/>
    <w:semiHidden/>
    <w:unhideWhenUsed/>
    <w:rsid w:val="00287DDF"/>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287DDF"/>
    <w:rPr>
      <w:rFonts w:eastAsiaTheme="minorEastAsia"/>
      <w:sz w:val="20"/>
      <w:szCs w:val="20"/>
      <w:lang w:eastAsia="tr-TR"/>
    </w:rPr>
  </w:style>
  <w:style w:type="character" w:styleId="DipnotBavurusu">
    <w:name w:val="footnote reference"/>
    <w:basedOn w:val="VarsaylanParagrafYazTipi"/>
    <w:uiPriority w:val="99"/>
    <w:semiHidden/>
    <w:unhideWhenUsed/>
    <w:rsid w:val="00287DDF"/>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802</Words>
  <Characters>4573</Characters>
  <Application>Microsoft Office Word</Application>
  <DocSecurity>0</DocSecurity>
  <Lines>38</Lines>
  <Paragraphs>10</Paragraphs>
  <ScaleCrop>false</ScaleCrop>
  <Company>By NeC ® 2010 | Katilimsiz.Com</Company>
  <LinksUpToDate>false</LinksUpToDate>
  <CharactersWithSpaces>5365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izel</dc:creator>
  <cp:keywords/>
  <dc:description/>
  <cp:lastModifiedBy>izel</cp:lastModifiedBy>
  <cp:revision>2</cp:revision>
  <dcterms:created xsi:type="dcterms:W3CDTF">2017-11-22T15:13:00Z</dcterms:created>
  <dcterms:modified xsi:type="dcterms:W3CDTF">2017-11-22T15:14:00Z</dcterms:modified>
</cp:coreProperties>
</file>