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96" w:rsidRPr="00F26E26" w:rsidRDefault="00015296" w:rsidP="00015296">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sidRPr="00F26E26">
        <w:rPr>
          <w:rFonts w:ascii="Times New Roman" w:hAnsi="Times New Roman" w:cs="Times New Roman"/>
          <w:b/>
          <w:sz w:val="24"/>
          <w:szCs w:val="24"/>
        </w:rPr>
        <w:t>IX. HAFTA</w:t>
      </w:r>
    </w:p>
    <w:p w:rsidR="00015296" w:rsidRPr="002218B8" w:rsidRDefault="00015296" w:rsidP="00015296">
      <w:pPr>
        <w:ind w:firstLine="851"/>
        <w:rPr>
          <w:rFonts w:ascii="Times New Roman" w:hAnsi="Times New Roman" w:cs="Times New Roman"/>
          <w:b/>
          <w:sz w:val="24"/>
          <w:szCs w:val="24"/>
        </w:rPr>
      </w:pPr>
      <w:r w:rsidRPr="002218B8">
        <w:rPr>
          <w:rFonts w:ascii="Times New Roman" w:hAnsi="Times New Roman" w:cs="Times New Roman"/>
          <w:b/>
          <w:sz w:val="24"/>
          <w:szCs w:val="24"/>
        </w:rPr>
        <w:t>SİGORTA ETTİRENİN YÜKÜMLÜLÜKLERİ (GÖREVLERİ)</w:t>
      </w:r>
    </w:p>
    <w:p w:rsidR="00015296" w:rsidRDefault="00015296" w:rsidP="00015296">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Tarafların edimleri arasındaki dengenin sağlanması ve devamına yönelik olarak sigorta ettirenin bazı görevleri bulunmaktadır. Bu görevlerin yerine getirilmesi, sigortacının himaye borcunun sınırlandırılmasında etkili olmaktadır. Bunlar, akit öncesi ihbar göreviyle sigorta edilen rizikoyu ağırlaştırmama görevdir. Riziko meydana geldikten sonraki safhaya ilişkin olarak öngörülen görevlerin yerine getirilmesindeki amaç ise sigortacının derhal duruma müdahale ederek zararın tespiti ve büyümesine engel olunması için gerekli tedbirlerin alınmasıdır.</w:t>
      </w:r>
    </w:p>
    <w:p w:rsidR="00015296" w:rsidRPr="0086092F" w:rsidRDefault="00015296" w:rsidP="00015296">
      <w:pPr>
        <w:spacing w:after="240" w:line="360" w:lineRule="auto"/>
        <w:ind w:firstLine="851"/>
        <w:jc w:val="both"/>
        <w:rPr>
          <w:rFonts w:ascii="Times New Roman" w:eastAsia="Times New Roman" w:hAnsi="Times New Roman" w:cs="Times New Roman"/>
          <w:b/>
          <w:color w:val="333333"/>
          <w:sz w:val="24"/>
          <w:szCs w:val="24"/>
        </w:rPr>
      </w:pPr>
      <w:r w:rsidRPr="0086092F">
        <w:rPr>
          <w:rFonts w:ascii="Times New Roman" w:eastAsia="Times New Roman" w:hAnsi="Times New Roman" w:cs="Times New Roman"/>
          <w:b/>
          <w:color w:val="333333"/>
          <w:sz w:val="24"/>
          <w:szCs w:val="24"/>
        </w:rPr>
        <w:t>NEDENSELLİK BAĞI</w:t>
      </w:r>
    </w:p>
    <w:p w:rsidR="00015296" w:rsidRDefault="00015296" w:rsidP="00015296">
      <w:pPr>
        <w:spacing w:after="240" w:line="360" w:lineRule="auto"/>
        <w:ind w:firstLine="851"/>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Tekne sigortalarında geçerli olan nedensellik bağına ilişkin açıklamalar yük sigortası bakımından da aynen geçerlidir. </w:t>
      </w:r>
    </w:p>
    <w:p w:rsidR="00015296" w:rsidRDefault="00015296" w:rsidP="00015296">
      <w:pPr>
        <w:spacing w:after="240" w:line="360" w:lineRule="auto"/>
        <w:ind w:firstLine="851"/>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RİZİKONUN GERÇEKLEŞMESİ</w:t>
      </w:r>
    </w:p>
    <w:p w:rsidR="00015296" w:rsidRDefault="00015296" w:rsidP="00015296">
      <w:pPr>
        <w:spacing w:after="240" w:line="360" w:lineRule="auto"/>
        <w:ind w:firstLine="851"/>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Rizikonun gerçekleşmesi, sözleşmede belirtilen olguların meydana gelmesidir. Rizikonun meydana gelmesi, sigortacıdan tazminat talep etme hakkının doğması, rizikonun gerçekleştiğinin ihbar görevinin yerine getirilmesi ve buna bağlı olarak zamanaşımının işlemeye başlaması gibi sonuçlar doğurmaktadır. </w:t>
      </w:r>
    </w:p>
    <w:p w:rsidR="00015296" w:rsidRDefault="00015296" w:rsidP="00015296">
      <w:pPr>
        <w:spacing w:after="240" w:line="360" w:lineRule="auto"/>
        <w:ind w:firstLine="851"/>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Yük taşıma sigortalarında zarar iki şekilde ortaya çıkmaktadır: </w:t>
      </w:r>
    </w:p>
    <w:p w:rsidR="00015296" w:rsidRPr="00A939CF" w:rsidRDefault="00015296" w:rsidP="00015296">
      <w:pPr>
        <w:pStyle w:val="ListeParagraf"/>
        <w:numPr>
          <w:ilvl w:val="0"/>
          <w:numId w:val="1"/>
        </w:numPr>
        <w:spacing w:after="240" w:line="360" w:lineRule="auto"/>
        <w:ind w:left="1276" w:hanging="425"/>
        <w:jc w:val="both"/>
        <w:rPr>
          <w:rFonts w:ascii="Times New Roman" w:eastAsia="Times New Roman" w:hAnsi="Times New Roman" w:cs="Times New Roman"/>
          <w:color w:val="333333"/>
          <w:sz w:val="24"/>
          <w:szCs w:val="24"/>
        </w:rPr>
      </w:pPr>
      <w:r w:rsidRPr="00A939CF">
        <w:rPr>
          <w:rFonts w:ascii="Times New Roman" w:eastAsia="Times New Roman" w:hAnsi="Times New Roman" w:cs="Times New Roman"/>
          <w:color w:val="333333"/>
          <w:sz w:val="24"/>
          <w:szCs w:val="24"/>
        </w:rPr>
        <w:t xml:space="preserve">Zarar, bir malın hasarlanması veya zayi olması şeklinde ortaya çıkabilir. Yükün gemide çıkan bir yangın sonucunda tahrip olması gibi. </w:t>
      </w:r>
    </w:p>
    <w:p w:rsidR="00015296" w:rsidRPr="00A939CF" w:rsidRDefault="00015296" w:rsidP="00015296">
      <w:pPr>
        <w:pStyle w:val="ListeParagraf"/>
        <w:numPr>
          <w:ilvl w:val="0"/>
          <w:numId w:val="1"/>
        </w:numPr>
        <w:spacing w:after="240" w:line="360" w:lineRule="auto"/>
        <w:ind w:left="1276" w:hanging="425"/>
        <w:jc w:val="both"/>
        <w:rPr>
          <w:rFonts w:ascii="Times New Roman" w:hAnsi="Times New Roman" w:cs="Times New Roman"/>
          <w:sz w:val="24"/>
          <w:szCs w:val="24"/>
        </w:rPr>
      </w:pPr>
      <w:r>
        <w:rPr>
          <w:rFonts w:ascii="Times New Roman" w:eastAsia="Times New Roman" w:hAnsi="Times New Roman" w:cs="Times New Roman"/>
          <w:color w:val="333333"/>
          <w:sz w:val="24"/>
          <w:szCs w:val="24"/>
        </w:rPr>
        <w:t>Zarar, sigorta kapsamında yer alan eşyanın tahribe uğramaksızın sigorta ettirenin bu eşya ile arasındaki değer ilişkisinin olumsuz şekilde ortadan kalkması biçiminde doğabilir. Sigorta ettirilen yükün gemi adamları tarafından çalışmasında olduğu gibi.</w:t>
      </w:r>
    </w:p>
    <w:p w:rsidR="00015296" w:rsidRPr="00CC6F12" w:rsidRDefault="00015296" w:rsidP="00015296">
      <w:pPr>
        <w:spacing w:after="240" w:line="360" w:lineRule="auto"/>
        <w:ind w:firstLine="851"/>
        <w:jc w:val="both"/>
        <w:rPr>
          <w:rFonts w:ascii="Times New Roman" w:hAnsi="Times New Roman" w:cs="Times New Roman"/>
          <w:b/>
          <w:sz w:val="24"/>
          <w:szCs w:val="24"/>
        </w:rPr>
      </w:pPr>
      <w:r w:rsidRPr="00CC6F12">
        <w:rPr>
          <w:rFonts w:ascii="Times New Roman" w:hAnsi="Times New Roman" w:cs="Times New Roman"/>
          <w:b/>
          <w:sz w:val="24"/>
          <w:szCs w:val="24"/>
        </w:rPr>
        <w:t>B – SİGORTALININ YAPTIĞI MASRAFLARI TALEP ETMESİ</w:t>
      </w:r>
    </w:p>
    <w:p w:rsidR="00015296" w:rsidRPr="00042A3F" w:rsidRDefault="00015296" w:rsidP="00015296">
      <w:pPr>
        <w:spacing w:after="240" w:line="360" w:lineRule="auto"/>
        <w:ind w:firstLine="851"/>
        <w:jc w:val="both"/>
        <w:rPr>
          <w:rFonts w:ascii="Times New Roman" w:hAnsi="Times New Roman" w:cs="Times New Roman"/>
          <w:b/>
          <w:sz w:val="24"/>
          <w:szCs w:val="24"/>
        </w:rPr>
      </w:pPr>
      <w:r w:rsidRPr="00042A3F">
        <w:rPr>
          <w:rFonts w:ascii="Times New Roman" w:hAnsi="Times New Roman" w:cs="Times New Roman"/>
          <w:b/>
          <w:sz w:val="24"/>
          <w:szCs w:val="24"/>
        </w:rPr>
        <w:t>1 – Türk Hukukunda</w:t>
      </w:r>
    </w:p>
    <w:p w:rsidR="00015296" w:rsidRPr="00B14899" w:rsidRDefault="00015296" w:rsidP="00015296">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Yükünü bir yerden diğer bir yere taşıttıran sigorta ettiren, yükün taşınmasıyla ilgili olarak çok çeşitli masraflar yapmaktadır. Bu masrafların tazminata konu olabilmesi, talep </w:t>
      </w:r>
      <w:r>
        <w:rPr>
          <w:rFonts w:ascii="Times New Roman" w:hAnsi="Times New Roman" w:cs="Times New Roman"/>
          <w:sz w:val="24"/>
          <w:szCs w:val="24"/>
        </w:rPr>
        <w:lastRenderedPageBreak/>
        <w:t xml:space="preserve">edilebilmesi için yükün taşınması sırasında yapılmış olmaları ve “olağan” sayılabilecek masraf kategorisi içinde yer almaması gerekir. </w:t>
      </w:r>
    </w:p>
    <w:p w:rsidR="00015296" w:rsidRDefault="00015296" w:rsidP="00015296">
      <w:pPr>
        <w:spacing w:after="240" w:line="360" w:lineRule="auto"/>
        <w:ind w:firstLineChars="298" w:firstLine="715"/>
        <w:jc w:val="both"/>
        <w:rPr>
          <w:rFonts w:ascii="Times New Roman" w:hAnsi="Times New Roman" w:cs="Times New Roman"/>
          <w:sz w:val="24"/>
          <w:szCs w:val="24"/>
        </w:rPr>
      </w:pPr>
      <w:r w:rsidRPr="00B14899">
        <w:rPr>
          <w:rFonts w:ascii="Times New Roman" w:hAnsi="Times New Roman" w:cs="Times New Roman"/>
          <w:sz w:val="24"/>
          <w:szCs w:val="24"/>
        </w:rPr>
        <w:t>Türk hukukunda sigorta ettirenin bu şekilde gerçekleştirmiş olduğu masrafların ödenmesi, koruma tedbirleri çerçevesinde mümkündür. Sigorta ettiren, sigorta ettirilen şeyleri kurtarmak ve daha büyük bir zarara sebep olmamak için gerekli önlemleri almakla yükümlüdür.</w:t>
      </w:r>
    </w:p>
    <w:p w:rsidR="00015296" w:rsidRDefault="00015296" w:rsidP="00015296">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İngiliz Hukukunda</w:t>
      </w:r>
    </w:p>
    <w:p w:rsidR="00015296" w:rsidRDefault="00015296" w:rsidP="00015296">
      <w:pPr>
        <w:spacing w:after="240" w:line="360" w:lineRule="auto"/>
        <w:ind w:firstLine="851"/>
        <w:jc w:val="both"/>
        <w:rPr>
          <w:rFonts w:ascii="Times New Roman" w:hAnsi="Times New Roman" w:cs="Times New Roman"/>
          <w:sz w:val="24"/>
          <w:szCs w:val="24"/>
        </w:rPr>
      </w:pPr>
      <w:r w:rsidRPr="00042A3F">
        <w:rPr>
          <w:rFonts w:ascii="Times New Roman" w:hAnsi="Times New Roman" w:cs="Times New Roman"/>
          <w:sz w:val="24"/>
          <w:szCs w:val="24"/>
        </w:rPr>
        <w:t>1982 öncesi düzenlemelerd</w:t>
      </w:r>
      <w:r>
        <w:rPr>
          <w:rFonts w:ascii="Times New Roman" w:hAnsi="Times New Roman" w:cs="Times New Roman"/>
          <w:sz w:val="24"/>
          <w:szCs w:val="24"/>
        </w:rPr>
        <w:t xml:space="preserve">e giderlere ilişkin olarak “Sue and Labour” (dava ve say - emek klozu) klozuna yer verilmişti. Bu kloza göre yolculuk sırasında yüklerin hasarlanması veya zayi olmalarını engellemeye yönelik olarak sigortalı tarafından alınan makul tedbirlerden doğan giderlerin sigortacı tarafından ödenmesi öngörülmekte idi. EYK 1982 düzenlemelerinde ise bu kloza yer verilmemiş, ancak önceki kloza paralel şekilde “sigortalının görevleri” başlığını taşıyan m. 16 sevk edilmiştir. </w:t>
      </w:r>
    </w:p>
    <w:p w:rsidR="00015296" w:rsidRDefault="00015296" w:rsidP="00015296">
      <w:pPr>
        <w:spacing w:after="120" w:line="24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C – MÜŞTEREK AVARYADAN KAYNAKLANAN ZARAR VE</w:t>
      </w:r>
    </w:p>
    <w:p w:rsidR="00015296" w:rsidRDefault="00015296" w:rsidP="00015296">
      <w:pPr>
        <w:spacing w:after="240" w:line="360" w:lineRule="auto"/>
        <w:ind w:left="1276" w:right="-1"/>
        <w:jc w:val="both"/>
        <w:rPr>
          <w:rFonts w:ascii="Times New Roman" w:hAnsi="Times New Roman" w:cs="Times New Roman"/>
          <w:b/>
          <w:sz w:val="24"/>
          <w:szCs w:val="24"/>
        </w:rPr>
      </w:pPr>
      <w:r>
        <w:rPr>
          <w:rFonts w:ascii="Times New Roman" w:hAnsi="Times New Roman" w:cs="Times New Roman"/>
          <w:b/>
          <w:sz w:val="24"/>
          <w:szCs w:val="24"/>
        </w:rPr>
        <w:t>GİDERLERLERİN TALEP EDİLMESİ</w:t>
      </w:r>
    </w:p>
    <w:p w:rsidR="00015296" w:rsidRDefault="00015296" w:rsidP="00015296">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1 – Türk Hukukunda</w:t>
      </w:r>
    </w:p>
    <w:p w:rsidR="00015296" w:rsidRDefault="00015296" w:rsidP="00015296">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Sigortacının sorumluluğunun tayininde sigorta sözleşmesinin kapsamı rol oynamaktadır. Bütün müşterek avarya hâllerinden her halükârda sigortacının sorumlu tutulması mümkün değildir. Kapsam dışı kalan bir sebepten kaynaklanan müşterek avaryadan sigortacı sorumlu tutulamaz. </w:t>
      </w:r>
    </w:p>
    <w:p w:rsidR="00015296" w:rsidRDefault="00015296" w:rsidP="00015296">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2 – İngiliz Hukukunda</w:t>
      </w:r>
    </w:p>
    <w:p w:rsidR="00015296" w:rsidRPr="00F46E05" w:rsidRDefault="00015296" w:rsidP="00015296">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Sigortacı, aksi kararlaştırılmadığı sürece müşterek avarya gideri veya fedakâlığından sorumludur. Sigortacının sorumluluğu için sigorta edilmiş bir riskin gerçekleşmesi gerekir. Navlun sözleşmesinde uygulanacak hukuk seçilmişse müşterek avarya paylaşımı bu çerçevede gerçekleştirilir. </w:t>
      </w:r>
    </w:p>
    <w:p w:rsidR="00015296" w:rsidRDefault="00015296" w:rsidP="00015296">
      <w:pPr>
        <w:spacing w:after="120" w:line="240" w:lineRule="auto"/>
        <w:ind w:firstLine="851"/>
        <w:contextualSpacing/>
        <w:jc w:val="both"/>
        <w:rPr>
          <w:rFonts w:ascii="Times New Roman" w:hAnsi="Times New Roman" w:cs="Times New Roman"/>
          <w:b/>
          <w:sz w:val="24"/>
          <w:szCs w:val="24"/>
        </w:rPr>
      </w:pPr>
      <w:r>
        <w:rPr>
          <w:rFonts w:ascii="Times New Roman" w:hAnsi="Times New Roman" w:cs="Times New Roman"/>
          <w:b/>
          <w:sz w:val="24"/>
          <w:szCs w:val="24"/>
        </w:rPr>
        <w:t>D – KURTARMADAN KAYNAKLANAN ZARAR VE GİDERLERİN TALEP</w:t>
      </w:r>
    </w:p>
    <w:p w:rsidR="00015296" w:rsidRDefault="00015296" w:rsidP="00015296">
      <w:pPr>
        <w:spacing w:after="240" w:line="360" w:lineRule="auto"/>
        <w:ind w:left="1276" w:right="-1"/>
        <w:jc w:val="both"/>
        <w:rPr>
          <w:rFonts w:ascii="Times New Roman" w:hAnsi="Times New Roman" w:cs="Times New Roman"/>
          <w:b/>
          <w:sz w:val="24"/>
          <w:szCs w:val="24"/>
        </w:rPr>
      </w:pPr>
      <w:r>
        <w:rPr>
          <w:rFonts w:ascii="Times New Roman" w:hAnsi="Times New Roman" w:cs="Times New Roman"/>
          <w:b/>
          <w:sz w:val="24"/>
          <w:szCs w:val="24"/>
        </w:rPr>
        <w:t>EDİLMESİ</w:t>
      </w:r>
    </w:p>
    <w:p w:rsidR="00015296" w:rsidRDefault="00015296" w:rsidP="00015296">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1 – Türk Hukukunda</w:t>
      </w:r>
    </w:p>
    <w:p w:rsidR="00015296" w:rsidRDefault="00015296" w:rsidP="00015296">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Kurtarma dolayısıyla ortaya çıkan zarar ve giderlerden sigortacının sorumlu tutulması mümkündür. </w:t>
      </w:r>
    </w:p>
    <w:p w:rsidR="00015296" w:rsidRDefault="00015296" w:rsidP="00015296">
      <w:pPr>
        <w:spacing w:after="240" w:line="36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2 – İngiliz Hukukunda</w:t>
      </w:r>
    </w:p>
    <w:p w:rsidR="00015296" w:rsidRDefault="00015296" w:rsidP="00015296">
      <w:pPr>
        <w:spacing w:after="24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İngiliz hukukunda sigorta himayesinin kapsamında yer alan bir tehlikeyle karşılaşılması sebebiyle doğacak bir zararı önlemek amacıyla sarf edilen kurtarma giderleri, sigorta himayesine dâhildir (MIA m. 65/1, EYK A, B, C m.2). </w:t>
      </w:r>
    </w:p>
    <w:p w:rsidR="006A15D7" w:rsidRDefault="006A15D7"/>
    <w:sectPr w:rsidR="006A1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E7FA3"/>
    <w:multiLevelType w:val="hybridMultilevel"/>
    <w:tmpl w:val="C85AD434"/>
    <w:lvl w:ilvl="0" w:tplc="E41CB510">
      <w:start w:val="1"/>
      <w:numFmt w:val="decimal"/>
      <w:lvlText w:val="(%1)"/>
      <w:lvlJc w:val="left"/>
      <w:pPr>
        <w:ind w:left="2111" w:hanging="12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B0"/>
    <w:rsid w:val="00015296"/>
    <w:rsid w:val="006A15D7"/>
    <w:rsid w:val="00F22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9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15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9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15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3223</Characters>
  <Application>Microsoft Office Word</Application>
  <DocSecurity>0</DocSecurity>
  <Lines>26</Lines>
  <Paragraphs>7</Paragraphs>
  <ScaleCrop>false</ScaleCrop>
  <Company>By NeC ® 2010 | Katilimsiz.Com</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2017-11-22T15:24:00Z</dcterms:created>
  <dcterms:modified xsi:type="dcterms:W3CDTF">2017-11-22T15:25:00Z</dcterms:modified>
</cp:coreProperties>
</file>