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A4E" w:rsidRPr="0010499B" w:rsidRDefault="0010499B" w:rsidP="0010499B">
      <w:pPr>
        <w:jc w:val="both"/>
        <w:rPr>
          <w:rFonts w:ascii="Arial" w:hAnsi="Arial" w:cs="Arial"/>
          <w:b/>
          <w:sz w:val="24"/>
          <w:szCs w:val="24"/>
        </w:rPr>
      </w:pPr>
      <w:r w:rsidRPr="0010499B">
        <w:rPr>
          <w:rFonts w:ascii="Arial" w:hAnsi="Arial" w:cs="Arial"/>
          <w:b/>
          <w:sz w:val="24"/>
          <w:szCs w:val="24"/>
        </w:rPr>
        <w:t>Fosil Yakıtlar</w:t>
      </w:r>
    </w:p>
    <w:p w:rsidR="0010499B" w:rsidRDefault="0010499B" w:rsidP="0010499B">
      <w:pPr>
        <w:jc w:val="both"/>
        <w:rPr>
          <w:rFonts w:ascii="Arial" w:hAnsi="Arial" w:cs="Arial"/>
          <w:sz w:val="24"/>
          <w:szCs w:val="24"/>
        </w:rPr>
      </w:pPr>
      <w:r>
        <w:rPr>
          <w:rFonts w:ascii="Arial" w:hAnsi="Arial" w:cs="Arial"/>
          <w:sz w:val="24"/>
          <w:szCs w:val="24"/>
        </w:rPr>
        <w:t>Modern yaşam için fosil yakıtlardan elde edilen enerjiye ihtiyaç vardır. Yaşamımızı devam ettirebilmek için gerekli enerjinin yaklaşık %90’ı fosil yakıtlardan elde edilmektedir.</w:t>
      </w:r>
      <w:r w:rsidR="002E2E14">
        <w:rPr>
          <w:rFonts w:ascii="Arial" w:hAnsi="Arial" w:cs="Arial"/>
          <w:sz w:val="24"/>
          <w:szCs w:val="24"/>
        </w:rPr>
        <w:t xml:space="preserve"> Başlıca f</w:t>
      </w:r>
      <w:r w:rsidR="002E2E14">
        <w:rPr>
          <w:rFonts w:ascii="Arial" w:hAnsi="Arial" w:cs="Arial"/>
          <w:b/>
          <w:sz w:val="24"/>
          <w:szCs w:val="24"/>
        </w:rPr>
        <w:t>osil yakıtlar</w:t>
      </w:r>
      <w:r w:rsidR="002E2E14">
        <w:rPr>
          <w:rFonts w:ascii="Arial" w:hAnsi="Arial" w:cs="Arial"/>
          <w:sz w:val="24"/>
          <w:szCs w:val="24"/>
        </w:rPr>
        <w:t xml:space="preserve"> kömür, petrol ve doğal gazdır.</w:t>
      </w:r>
      <w:r w:rsidR="0062495D">
        <w:rPr>
          <w:rFonts w:ascii="Arial" w:hAnsi="Arial" w:cs="Arial"/>
          <w:sz w:val="24"/>
          <w:szCs w:val="24"/>
        </w:rPr>
        <w:t xml:space="preserve"> </w:t>
      </w:r>
    </w:p>
    <w:p w:rsidR="0062495D" w:rsidRDefault="0062495D" w:rsidP="0010499B">
      <w:pPr>
        <w:jc w:val="both"/>
        <w:rPr>
          <w:rFonts w:ascii="Arial" w:hAnsi="Arial" w:cs="Arial"/>
          <w:sz w:val="24"/>
          <w:szCs w:val="24"/>
        </w:rPr>
      </w:pPr>
      <w:r>
        <w:rPr>
          <w:rFonts w:ascii="Arial" w:hAnsi="Arial" w:cs="Arial"/>
          <w:sz w:val="24"/>
          <w:szCs w:val="24"/>
        </w:rPr>
        <w:t xml:space="preserve">Oksijenle tepkime vererek ısı açığa çıkaran maddeler genel olarak </w:t>
      </w:r>
      <w:r>
        <w:rPr>
          <w:rFonts w:ascii="Arial" w:hAnsi="Arial" w:cs="Arial"/>
          <w:b/>
          <w:sz w:val="24"/>
          <w:szCs w:val="24"/>
        </w:rPr>
        <w:t xml:space="preserve">yakıt </w:t>
      </w:r>
      <w:r>
        <w:rPr>
          <w:rFonts w:ascii="Arial" w:hAnsi="Arial" w:cs="Arial"/>
          <w:sz w:val="24"/>
          <w:szCs w:val="24"/>
        </w:rPr>
        <w:t xml:space="preserve">olarak kabul edilir. Yakıtlar maddenin indirgenmiş halidir ve yanma olayı bir </w:t>
      </w:r>
      <w:proofErr w:type="spellStart"/>
      <w:r>
        <w:rPr>
          <w:rFonts w:ascii="Arial" w:hAnsi="Arial" w:cs="Arial"/>
          <w:sz w:val="24"/>
          <w:szCs w:val="24"/>
        </w:rPr>
        <w:t>oksidasyon</w:t>
      </w:r>
      <w:proofErr w:type="spellEnd"/>
      <w:r>
        <w:rPr>
          <w:rFonts w:ascii="Arial" w:hAnsi="Arial" w:cs="Arial"/>
          <w:sz w:val="24"/>
          <w:szCs w:val="24"/>
        </w:rPr>
        <w:t xml:space="preserve"> (yükseltgeme) olayıdır. Bir atom maksimum sayıda oksijene (veya klor veya brom gibi diğer elektronegatif atomlara) bağlı bağ içeriyorsa o madde yakıt olarak kullanılamaz. Hakikaten bazı maddeler yanma olayını önlemede yani yangını söndürmede kullanılmaktadır. </w:t>
      </w:r>
    </w:p>
    <w:p w:rsidR="00F91956" w:rsidRDefault="00F91956" w:rsidP="0010499B">
      <w:pPr>
        <w:jc w:val="both"/>
        <w:rPr>
          <w:rFonts w:ascii="Arial" w:hAnsi="Arial" w:cs="Arial"/>
          <w:sz w:val="24"/>
          <w:szCs w:val="24"/>
        </w:rPr>
      </w:pPr>
      <w:r>
        <w:rPr>
          <w:rFonts w:ascii="Arial" w:hAnsi="Arial" w:cs="Arial"/>
          <w:sz w:val="24"/>
          <w:szCs w:val="24"/>
        </w:rPr>
        <w:t xml:space="preserve"> Yeryüzünün sınırlı oranda fosil yakıta sahip olduğu akıldan çıkarılmamalı ve petrol veya doğal gazın tüketilme hızının artışı dikkate alınmalıdır. Dünya petrol rezervinin yarıdan fazlasının politik açıdan kararlı olmayan Ortadoğu ülkelerinde bulunduğu aklıdan çıkarılmamalıdır. Doğal gaz rezervlerinin de sonsuz olmadığı bilinmektedir. Bugünkü tüketim hızıyla kömür rezervleri 300 yıl daha yeterli görünmektedir. </w:t>
      </w:r>
    </w:p>
    <w:p w:rsidR="000F19EF" w:rsidRDefault="000F19EF" w:rsidP="0010499B">
      <w:pPr>
        <w:jc w:val="both"/>
        <w:rPr>
          <w:rFonts w:ascii="Arial" w:hAnsi="Arial" w:cs="Arial"/>
          <w:sz w:val="24"/>
          <w:szCs w:val="24"/>
        </w:rPr>
      </w:pPr>
    </w:p>
    <w:p w:rsidR="000F19EF" w:rsidRDefault="000F19EF" w:rsidP="0010499B">
      <w:pPr>
        <w:jc w:val="both"/>
        <w:rPr>
          <w:rFonts w:ascii="Arial" w:hAnsi="Arial" w:cs="Arial"/>
          <w:sz w:val="24"/>
          <w:szCs w:val="24"/>
        </w:rPr>
      </w:pPr>
      <w:r>
        <w:rPr>
          <w:rFonts w:ascii="Arial" w:hAnsi="Arial" w:cs="Arial"/>
          <w:sz w:val="24"/>
          <w:szCs w:val="24"/>
        </w:rPr>
        <w:t>H-H</w:t>
      </w:r>
      <w:r>
        <w:rPr>
          <w:rFonts w:ascii="Arial" w:hAnsi="Arial" w:cs="Arial"/>
          <w:sz w:val="24"/>
          <w:szCs w:val="24"/>
        </w:rPr>
        <w:tab/>
      </w:r>
      <w:r>
        <w:rPr>
          <w:rFonts w:ascii="Arial" w:hAnsi="Arial" w:cs="Arial"/>
          <w:sz w:val="24"/>
          <w:szCs w:val="24"/>
        </w:rPr>
        <w:tab/>
        <w:t>CH</w:t>
      </w:r>
      <w:r>
        <w:rPr>
          <w:rFonts w:ascii="Arial" w:hAnsi="Arial" w:cs="Arial"/>
          <w:sz w:val="24"/>
          <w:szCs w:val="24"/>
          <w:vertAlign w:val="superscript"/>
        </w:rPr>
        <w:t xml:space="preserve"> </w:t>
      </w:r>
      <w:r w:rsidRPr="000F19EF">
        <w:rPr>
          <w:rFonts w:ascii="Arial" w:hAnsi="Arial" w:cs="Arial"/>
          <w:sz w:val="24"/>
          <w:szCs w:val="24"/>
        </w:rPr>
        <w:t>(metan=doğal gaz)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w:t>
      </w:r>
      <w:r>
        <w:rPr>
          <w:rFonts w:ascii="Arial" w:hAnsi="Arial" w:cs="Arial"/>
          <w:sz w:val="24"/>
          <w:szCs w:val="24"/>
          <w:vertAlign w:val="subscript"/>
        </w:rPr>
        <w:t>2</w:t>
      </w:r>
      <w:r>
        <w:rPr>
          <w:rFonts w:ascii="Arial" w:hAnsi="Arial" w:cs="Arial"/>
          <w:sz w:val="24"/>
          <w:szCs w:val="24"/>
        </w:rPr>
        <w:t xml:space="preserve"> (karbon dioksit)</w:t>
      </w:r>
    </w:p>
    <w:p w:rsidR="000F19EF" w:rsidRPr="000F19EF" w:rsidRDefault="000F19EF" w:rsidP="0010499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w:t>
      </w:r>
      <w:r>
        <w:rPr>
          <w:rFonts w:ascii="Arial" w:hAnsi="Arial" w:cs="Arial"/>
          <w:sz w:val="24"/>
          <w:szCs w:val="24"/>
          <w:vertAlign w:val="subscript"/>
        </w:rPr>
        <w:t>2</w:t>
      </w:r>
      <w:r>
        <w:rPr>
          <w:rFonts w:ascii="Arial" w:hAnsi="Arial" w:cs="Arial"/>
          <w:sz w:val="24"/>
          <w:szCs w:val="24"/>
        </w:rPr>
        <w:t>O (su)</w:t>
      </w:r>
    </w:p>
    <w:p w:rsidR="000F19EF" w:rsidRDefault="000F19EF" w:rsidP="0010499B">
      <w:pPr>
        <w:jc w:val="both"/>
        <w:rPr>
          <w:rFonts w:ascii="Arial" w:hAnsi="Arial" w:cs="Arial"/>
          <w:sz w:val="24"/>
          <w:szCs w:val="24"/>
        </w:rPr>
      </w:pPr>
      <w:r>
        <w:rPr>
          <w:rFonts w:ascii="Arial" w:hAnsi="Arial" w:cs="Arial"/>
          <w:sz w:val="24"/>
          <w:szCs w:val="24"/>
        </w:rPr>
        <w:t>C (karbon, kömür)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CCl</w:t>
      </w:r>
      <w:r>
        <w:rPr>
          <w:rFonts w:ascii="Arial" w:hAnsi="Arial" w:cs="Arial"/>
          <w:sz w:val="24"/>
          <w:szCs w:val="24"/>
          <w:vertAlign w:val="subscript"/>
        </w:rPr>
        <w:t>4</w:t>
      </w:r>
      <w:r>
        <w:rPr>
          <w:rFonts w:ascii="Arial" w:hAnsi="Arial" w:cs="Arial"/>
          <w:sz w:val="24"/>
          <w:szCs w:val="24"/>
        </w:rPr>
        <w:t xml:space="preserve"> (karbon </w:t>
      </w:r>
      <w:proofErr w:type="spellStart"/>
      <w:r>
        <w:rPr>
          <w:rFonts w:ascii="Arial" w:hAnsi="Arial" w:cs="Arial"/>
          <w:sz w:val="24"/>
          <w:szCs w:val="24"/>
        </w:rPr>
        <w:t>tetraklorür</w:t>
      </w:r>
      <w:proofErr w:type="spellEnd"/>
      <w:r>
        <w:rPr>
          <w:rFonts w:ascii="Arial" w:hAnsi="Arial" w:cs="Arial"/>
          <w:sz w:val="24"/>
          <w:szCs w:val="24"/>
        </w:rPr>
        <w:t>)</w:t>
      </w:r>
    </w:p>
    <w:p w:rsidR="000F19EF" w:rsidRDefault="000F19EF" w:rsidP="0010499B">
      <w:pPr>
        <w:jc w:val="both"/>
        <w:rPr>
          <w:rFonts w:ascii="Arial" w:hAnsi="Arial" w:cs="Arial"/>
          <w:sz w:val="24"/>
          <w:szCs w:val="24"/>
        </w:rPr>
      </w:pPr>
    </w:p>
    <w:p w:rsidR="000F19EF" w:rsidRPr="000F19EF" w:rsidRDefault="000F19EF" w:rsidP="0010499B">
      <w:pPr>
        <w:jc w:val="both"/>
        <w:rPr>
          <w:rFonts w:ascii="Arial" w:hAnsi="Arial" w:cs="Arial"/>
          <w:sz w:val="24"/>
          <w:szCs w:val="24"/>
        </w:rPr>
      </w:pPr>
      <w:r>
        <w:rPr>
          <w:rFonts w:ascii="Arial" w:hAnsi="Arial" w:cs="Arial"/>
          <w:sz w:val="24"/>
          <w:szCs w:val="24"/>
        </w:rPr>
        <w:t>C</w:t>
      </w:r>
      <w:r>
        <w:rPr>
          <w:rFonts w:ascii="Arial" w:hAnsi="Arial" w:cs="Arial"/>
          <w:sz w:val="24"/>
          <w:szCs w:val="24"/>
          <w:vertAlign w:val="subscript"/>
        </w:rPr>
        <w:t>6</w:t>
      </w:r>
      <w:r>
        <w:rPr>
          <w:rFonts w:ascii="Arial" w:hAnsi="Arial" w:cs="Arial"/>
          <w:sz w:val="24"/>
          <w:szCs w:val="24"/>
        </w:rPr>
        <w:t>H</w:t>
      </w:r>
      <w:r>
        <w:rPr>
          <w:rFonts w:ascii="Arial" w:hAnsi="Arial" w:cs="Arial"/>
          <w:sz w:val="24"/>
          <w:szCs w:val="24"/>
          <w:vertAlign w:val="subscript"/>
        </w:rPr>
        <w:t>12</w:t>
      </w:r>
      <w:r>
        <w:rPr>
          <w:rFonts w:ascii="Arial" w:hAnsi="Arial" w:cs="Arial"/>
          <w:sz w:val="24"/>
          <w:szCs w:val="24"/>
        </w:rPr>
        <w:t>O</w:t>
      </w:r>
      <w:r>
        <w:rPr>
          <w:rFonts w:ascii="Arial" w:hAnsi="Arial" w:cs="Arial"/>
          <w:sz w:val="24"/>
          <w:szCs w:val="24"/>
          <w:vertAlign w:val="subscript"/>
        </w:rPr>
        <w:t xml:space="preserve">6  </w:t>
      </w:r>
      <w:r>
        <w:rPr>
          <w:rFonts w:ascii="Arial" w:hAnsi="Arial" w:cs="Arial"/>
          <w:sz w:val="24"/>
          <w:szCs w:val="24"/>
        </w:rPr>
        <w:t>(</w:t>
      </w:r>
      <w:proofErr w:type="spellStart"/>
      <w:r>
        <w:rPr>
          <w:rFonts w:ascii="Arial" w:hAnsi="Arial" w:cs="Arial"/>
          <w:sz w:val="24"/>
          <w:szCs w:val="24"/>
        </w:rPr>
        <w:t>glukoz</w:t>
      </w:r>
      <w:proofErr w:type="spellEnd"/>
      <w:r>
        <w:rPr>
          <w:rFonts w:ascii="Arial" w:hAnsi="Arial" w:cs="Arial"/>
          <w:sz w:val="24"/>
          <w:szCs w:val="24"/>
        </w:rPr>
        <w:t>)</w:t>
      </w:r>
      <w:r>
        <w:rPr>
          <w:rFonts w:ascii="Arial" w:hAnsi="Arial" w:cs="Arial"/>
          <w:sz w:val="24"/>
          <w:szCs w:val="24"/>
        </w:rPr>
        <w:tab/>
      </w:r>
      <w:r>
        <w:rPr>
          <w:rFonts w:ascii="Arial" w:hAnsi="Arial" w:cs="Arial"/>
          <w:sz w:val="24"/>
          <w:szCs w:val="24"/>
        </w:rPr>
        <w:tab/>
        <w:t>C</w:t>
      </w:r>
      <w:r>
        <w:rPr>
          <w:rFonts w:ascii="Arial" w:hAnsi="Arial" w:cs="Arial"/>
          <w:sz w:val="24"/>
          <w:szCs w:val="24"/>
          <w:vertAlign w:val="subscript"/>
        </w:rPr>
        <w:t>18H</w:t>
      </w:r>
      <w:r>
        <w:rPr>
          <w:rFonts w:ascii="Arial" w:hAnsi="Arial" w:cs="Arial"/>
          <w:sz w:val="24"/>
          <w:szCs w:val="24"/>
        </w:rPr>
        <w:t>H</w:t>
      </w:r>
      <w:r>
        <w:rPr>
          <w:rFonts w:ascii="Arial" w:hAnsi="Arial" w:cs="Arial"/>
          <w:sz w:val="24"/>
          <w:szCs w:val="24"/>
          <w:vertAlign w:val="subscript"/>
        </w:rPr>
        <w:t>18</w:t>
      </w:r>
      <w:r>
        <w:rPr>
          <w:rFonts w:ascii="Arial" w:hAnsi="Arial" w:cs="Arial"/>
          <w:sz w:val="24"/>
          <w:szCs w:val="24"/>
        </w:rPr>
        <w:t xml:space="preserve"> (oktan)</w:t>
      </w:r>
    </w:p>
    <w:p w:rsidR="000F19EF" w:rsidRPr="000F19EF" w:rsidRDefault="000F19EF" w:rsidP="000F19EF">
      <w:pPr>
        <w:ind w:left="6372" w:hanging="6372"/>
        <w:jc w:val="both"/>
        <w:rPr>
          <w:rFonts w:ascii="Arial" w:hAnsi="Arial" w:cs="Arial"/>
          <w:sz w:val="24"/>
          <w:szCs w:val="24"/>
        </w:rPr>
      </w:pPr>
      <w:r>
        <w:rPr>
          <w:rFonts w:ascii="Arial" w:hAnsi="Arial" w:cs="Arial"/>
          <w:sz w:val="24"/>
          <w:szCs w:val="24"/>
        </w:rPr>
        <w:t>Yakıtlar (indirgenmiş formdaki maddeler)</w:t>
      </w:r>
      <w:r>
        <w:rPr>
          <w:rFonts w:ascii="Arial" w:hAnsi="Arial" w:cs="Arial"/>
          <w:sz w:val="24"/>
          <w:szCs w:val="24"/>
        </w:rPr>
        <w:tab/>
        <w:t>Yakıt olmayanlar (oksitlenmiş formdaki maddeler)</w:t>
      </w:r>
    </w:p>
    <w:p w:rsidR="000F19EF" w:rsidRPr="00E136B2" w:rsidRDefault="000F19EF" w:rsidP="00E136B2">
      <w:pPr>
        <w:pStyle w:val="ListeParagraf"/>
        <w:ind w:left="708"/>
        <w:jc w:val="both"/>
        <w:rPr>
          <w:rFonts w:ascii="Arial" w:hAnsi="Arial" w:cs="Arial"/>
          <w:sz w:val="24"/>
          <w:szCs w:val="24"/>
        </w:rPr>
      </w:pPr>
    </w:p>
    <w:p w:rsidR="000F19EF" w:rsidRDefault="000F19EF" w:rsidP="0010499B">
      <w:pPr>
        <w:jc w:val="both"/>
        <w:rPr>
          <w:rFonts w:ascii="Arial" w:hAnsi="Arial" w:cs="Arial"/>
          <w:sz w:val="24"/>
          <w:szCs w:val="24"/>
        </w:rPr>
      </w:pPr>
      <w:r>
        <w:rPr>
          <w:rFonts w:ascii="Arial" w:hAnsi="Arial" w:cs="Arial"/>
          <w:sz w:val="24"/>
          <w:szCs w:val="24"/>
        </w:rPr>
        <w:t>Şekil 1- Bazı yakıt türleri a</w:t>
      </w:r>
      <w:proofErr w:type="gramStart"/>
      <w:r>
        <w:rPr>
          <w:rFonts w:ascii="Arial" w:hAnsi="Arial" w:cs="Arial"/>
          <w:sz w:val="24"/>
          <w:szCs w:val="24"/>
        </w:rPr>
        <w:t>)</w:t>
      </w:r>
      <w:proofErr w:type="gramEnd"/>
      <w:r>
        <w:rPr>
          <w:rFonts w:ascii="Arial" w:hAnsi="Arial" w:cs="Arial"/>
          <w:sz w:val="24"/>
          <w:szCs w:val="24"/>
        </w:rPr>
        <w:t xml:space="preserve"> Maddenin indirgenmiş formu olarak düşünülen yakıtlar yakıldığında önemli ölçüde ısı açığa çıkar.</w:t>
      </w:r>
      <w:r w:rsidR="00E136B2">
        <w:rPr>
          <w:rFonts w:ascii="Arial" w:hAnsi="Arial" w:cs="Arial"/>
          <w:sz w:val="24"/>
          <w:szCs w:val="24"/>
        </w:rPr>
        <w:t xml:space="preserve"> </w:t>
      </w:r>
      <w:r>
        <w:rPr>
          <w:rFonts w:ascii="Arial" w:hAnsi="Arial" w:cs="Arial"/>
          <w:sz w:val="24"/>
          <w:szCs w:val="24"/>
        </w:rPr>
        <w:t>b)</w:t>
      </w:r>
      <w:r w:rsidR="00E136B2">
        <w:rPr>
          <w:rFonts w:ascii="Arial" w:hAnsi="Arial" w:cs="Arial"/>
          <w:sz w:val="24"/>
          <w:szCs w:val="24"/>
        </w:rPr>
        <w:t xml:space="preserve"> </w:t>
      </w:r>
      <w:r>
        <w:rPr>
          <w:rFonts w:ascii="Arial" w:hAnsi="Arial" w:cs="Arial"/>
          <w:sz w:val="24"/>
          <w:szCs w:val="24"/>
        </w:rPr>
        <w:t>Bu bileşikler maddenin yükseltgenmiş hallerindeki bileşiklerdir.</w:t>
      </w:r>
    </w:p>
    <w:p w:rsidR="00B61E44" w:rsidRDefault="00B61E44" w:rsidP="0010499B">
      <w:pPr>
        <w:jc w:val="both"/>
        <w:rPr>
          <w:rFonts w:ascii="Arial" w:hAnsi="Arial" w:cs="Arial"/>
          <w:sz w:val="24"/>
          <w:szCs w:val="24"/>
        </w:rPr>
      </w:pPr>
    </w:p>
    <w:p w:rsidR="00B61E44" w:rsidRDefault="00B61E44" w:rsidP="0010499B">
      <w:pPr>
        <w:jc w:val="both"/>
        <w:rPr>
          <w:rFonts w:ascii="Arial" w:hAnsi="Arial" w:cs="Arial"/>
          <w:b/>
          <w:sz w:val="24"/>
          <w:szCs w:val="24"/>
        </w:rPr>
      </w:pPr>
      <w:r>
        <w:rPr>
          <w:rFonts w:ascii="Arial" w:hAnsi="Arial" w:cs="Arial"/>
          <w:b/>
          <w:sz w:val="24"/>
          <w:szCs w:val="24"/>
        </w:rPr>
        <w:t>Kömür</w:t>
      </w:r>
    </w:p>
    <w:p w:rsidR="00B61E44" w:rsidRDefault="00B61E44" w:rsidP="0010499B">
      <w:pPr>
        <w:jc w:val="both"/>
        <w:rPr>
          <w:rFonts w:ascii="Arial" w:hAnsi="Arial" w:cs="Arial"/>
          <w:sz w:val="24"/>
          <w:szCs w:val="24"/>
        </w:rPr>
      </w:pPr>
      <w:r>
        <w:rPr>
          <w:rFonts w:ascii="Arial" w:hAnsi="Arial" w:cs="Arial"/>
          <w:sz w:val="24"/>
          <w:szCs w:val="24"/>
        </w:rPr>
        <w:t>Kömür karmaşık yapıda bir katıdır. Başka elementler içerse de başlıca karbon elementini içerir. Kömürün enerji kaynağı olarak kabulünde onun içindeki karbon içeriği çok önemlidir. Kömürler en düşük kalitedeki turbadan, en üst kalitedeki antrasite kadar farklı yapıdadırlar ve yapılarına göre sınıflandırılırlar. Yumuşak bitümlü kömür, sert antrasite oranla daha kolay kullanım alanı bulur. Yüksek kaliteli kömür arzının azalması ile turba ve linyit kullanımının önemi artmaktadır.</w:t>
      </w:r>
    </w:p>
    <w:p w:rsidR="00B61E44" w:rsidRDefault="00B61E44" w:rsidP="00412087">
      <w:pPr>
        <w:jc w:val="both"/>
        <w:rPr>
          <w:rFonts w:ascii="Arial" w:hAnsi="Arial" w:cs="Arial"/>
          <w:sz w:val="24"/>
          <w:szCs w:val="24"/>
        </w:rPr>
      </w:pPr>
      <w:r>
        <w:rPr>
          <w:rFonts w:ascii="Arial" w:hAnsi="Arial" w:cs="Arial"/>
          <w:sz w:val="24"/>
          <w:szCs w:val="24"/>
        </w:rPr>
        <w:lastRenderedPageBreak/>
        <w:t xml:space="preserve">Kömürlerin piyasaya arzı sınırlıdır. Bugün dünyadaki kömür rezervlerinin yaşı 600 milyon yıldan daha azdır. Dünya geçmiş dönemlere oranla daha ılıktır. Bitkiler yaşarlar, ölürler ve sonunda </w:t>
      </w:r>
      <w:proofErr w:type="spellStart"/>
      <w:r>
        <w:rPr>
          <w:rFonts w:ascii="Arial" w:hAnsi="Arial" w:cs="Arial"/>
          <w:sz w:val="24"/>
          <w:szCs w:val="24"/>
        </w:rPr>
        <w:t>bozunmaya</w:t>
      </w:r>
      <w:proofErr w:type="spellEnd"/>
      <w:r>
        <w:rPr>
          <w:rFonts w:ascii="Arial" w:hAnsi="Arial" w:cs="Arial"/>
          <w:sz w:val="24"/>
          <w:szCs w:val="24"/>
        </w:rPr>
        <w:t xml:space="preserve"> uğrarlar. </w:t>
      </w:r>
      <w:r w:rsidR="002F5835">
        <w:rPr>
          <w:rFonts w:ascii="Arial" w:hAnsi="Arial" w:cs="Arial"/>
          <w:sz w:val="24"/>
          <w:szCs w:val="24"/>
        </w:rPr>
        <w:t>Böylece karbon çevrimi sağlanmış olur.</w:t>
      </w:r>
    </w:p>
    <w:p w:rsidR="002F5835" w:rsidRDefault="002F5835" w:rsidP="00412087">
      <w:pPr>
        <w:jc w:val="both"/>
        <w:rPr>
          <w:rFonts w:ascii="Arial" w:hAnsi="Arial" w:cs="Arial"/>
          <w:sz w:val="24"/>
          <w:szCs w:val="24"/>
        </w:rPr>
      </w:pPr>
    </w:p>
    <w:p w:rsidR="00B61E44" w:rsidRDefault="00B61E44" w:rsidP="00412087">
      <w:pPr>
        <w:jc w:val="both"/>
        <w:rPr>
          <w:rFonts w:ascii="Arial" w:hAnsi="Arial" w:cs="Arial"/>
          <w:sz w:val="24"/>
          <w:szCs w:val="24"/>
        </w:rPr>
      </w:pPr>
      <w:r>
        <w:rPr>
          <w:rFonts w:ascii="Arial" w:hAnsi="Arial" w:cs="Arial"/>
          <w:sz w:val="24"/>
          <w:szCs w:val="24"/>
        </w:rPr>
        <w:t xml:space="preserve">Çizelge 2- Çeşitli kömür sınıflarının kütlece yüzde </w:t>
      </w:r>
      <w:r w:rsidR="009B6403">
        <w:rPr>
          <w:rFonts w:ascii="Arial" w:hAnsi="Arial" w:cs="Arial"/>
          <w:sz w:val="24"/>
          <w:szCs w:val="24"/>
        </w:rPr>
        <w:t xml:space="preserve">yaklaşık </w:t>
      </w:r>
      <w:r>
        <w:rPr>
          <w:rFonts w:ascii="Arial" w:hAnsi="Arial" w:cs="Arial"/>
          <w:sz w:val="24"/>
          <w:szCs w:val="24"/>
        </w:rPr>
        <w:t>bileşimleri</w:t>
      </w:r>
    </w:p>
    <w:tbl>
      <w:tblPr>
        <w:tblStyle w:val="TabloKlavuzu"/>
        <w:tblW w:w="0" w:type="auto"/>
        <w:tblLook w:val="04A0" w:firstRow="1" w:lastRow="0" w:firstColumn="1" w:lastColumn="0" w:noHBand="0" w:noVBand="1"/>
      </w:tblPr>
      <w:tblGrid>
        <w:gridCol w:w="1811"/>
        <w:gridCol w:w="1812"/>
        <w:gridCol w:w="1813"/>
        <w:gridCol w:w="1813"/>
        <w:gridCol w:w="1813"/>
      </w:tblGrid>
      <w:tr w:rsidR="00B61E44" w:rsidTr="00B571BC">
        <w:tc>
          <w:tcPr>
            <w:tcW w:w="1811" w:type="dxa"/>
          </w:tcPr>
          <w:p w:rsidR="00B61E44" w:rsidRDefault="00B61E44" w:rsidP="00412087">
            <w:pPr>
              <w:jc w:val="both"/>
              <w:rPr>
                <w:rFonts w:ascii="Arial" w:hAnsi="Arial" w:cs="Arial"/>
                <w:sz w:val="24"/>
                <w:szCs w:val="24"/>
              </w:rPr>
            </w:pPr>
            <w:r>
              <w:rPr>
                <w:rFonts w:ascii="Arial" w:hAnsi="Arial" w:cs="Arial"/>
                <w:sz w:val="24"/>
                <w:szCs w:val="24"/>
              </w:rPr>
              <w:t>Kömür sınıfı</w:t>
            </w:r>
          </w:p>
        </w:tc>
        <w:tc>
          <w:tcPr>
            <w:tcW w:w="1812" w:type="dxa"/>
          </w:tcPr>
          <w:p w:rsidR="00B61E44" w:rsidRDefault="00B61E44" w:rsidP="00412087">
            <w:pPr>
              <w:jc w:val="both"/>
              <w:rPr>
                <w:rFonts w:ascii="Arial" w:hAnsi="Arial" w:cs="Arial"/>
                <w:sz w:val="24"/>
                <w:szCs w:val="24"/>
              </w:rPr>
            </w:pPr>
            <w:r>
              <w:rPr>
                <w:rFonts w:ascii="Arial" w:hAnsi="Arial" w:cs="Arial"/>
                <w:sz w:val="24"/>
                <w:szCs w:val="24"/>
              </w:rPr>
              <w:t>Karbon</w:t>
            </w:r>
          </w:p>
        </w:tc>
        <w:tc>
          <w:tcPr>
            <w:tcW w:w="1813" w:type="dxa"/>
          </w:tcPr>
          <w:p w:rsidR="00B61E44" w:rsidRDefault="00B61E44" w:rsidP="00412087">
            <w:pPr>
              <w:jc w:val="both"/>
              <w:rPr>
                <w:rFonts w:ascii="Arial" w:hAnsi="Arial" w:cs="Arial"/>
                <w:sz w:val="24"/>
                <w:szCs w:val="24"/>
              </w:rPr>
            </w:pPr>
            <w:r>
              <w:rPr>
                <w:rFonts w:ascii="Arial" w:hAnsi="Arial" w:cs="Arial"/>
                <w:sz w:val="24"/>
                <w:szCs w:val="24"/>
              </w:rPr>
              <w:t>Hidrojen</w:t>
            </w:r>
          </w:p>
        </w:tc>
        <w:tc>
          <w:tcPr>
            <w:tcW w:w="1813" w:type="dxa"/>
          </w:tcPr>
          <w:p w:rsidR="00B61E44" w:rsidRDefault="00B61E44" w:rsidP="00412087">
            <w:pPr>
              <w:jc w:val="both"/>
              <w:rPr>
                <w:rFonts w:ascii="Arial" w:hAnsi="Arial" w:cs="Arial"/>
                <w:sz w:val="24"/>
                <w:szCs w:val="24"/>
              </w:rPr>
            </w:pPr>
            <w:r>
              <w:rPr>
                <w:rFonts w:ascii="Arial" w:hAnsi="Arial" w:cs="Arial"/>
                <w:sz w:val="24"/>
                <w:szCs w:val="24"/>
              </w:rPr>
              <w:t>Oksijen</w:t>
            </w:r>
          </w:p>
        </w:tc>
        <w:tc>
          <w:tcPr>
            <w:tcW w:w="1813" w:type="dxa"/>
          </w:tcPr>
          <w:p w:rsidR="00B61E44" w:rsidRDefault="00B61E44" w:rsidP="00412087">
            <w:pPr>
              <w:jc w:val="both"/>
              <w:rPr>
                <w:rFonts w:ascii="Arial" w:hAnsi="Arial" w:cs="Arial"/>
                <w:sz w:val="24"/>
                <w:szCs w:val="24"/>
              </w:rPr>
            </w:pPr>
            <w:r>
              <w:rPr>
                <w:rFonts w:ascii="Arial" w:hAnsi="Arial" w:cs="Arial"/>
                <w:sz w:val="24"/>
                <w:szCs w:val="24"/>
              </w:rPr>
              <w:t>Azot</w:t>
            </w:r>
          </w:p>
        </w:tc>
      </w:tr>
      <w:tr w:rsidR="00B61E44" w:rsidTr="00B571BC">
        <w:tc>
          <w:tcPr>
            <w:tcW w:w="1811" w:type="dxa"/>
          </w:tcPr>
          <w:p w:rsidR="00B61E44" w:rsidRDefault="00B61E44" w:rsidP="00412087">
            <w:pPr>
              <w:jc w:val="both"/>
              <w:rPr>
                <w:rFonts w:ascii="Arial" w:hAnsi="Arial" w:cs="Arial"/>
                <w:sz w:val="24"/>
                <w:szCs w:val="24"/>
              </w:rPr>
            </w:pPr>
            <w:r>
              <w:rPr>
                <w:rFonts w:ascii="Arial" w:hAnsi="Arial" w:cs="Arial"/>
                <w:sz w:val="24"/>
                <w:szCs w:val="24"/>
              </w:rPr>
              <w:t>Odun (karşılaştırma amacıyla)</w:t>
            </w:r>
          </w:p>
        </w:tc>
        <w:tc>
          <w:tcPr>
            <w:tcW w:w="1812" w:type="dxa"/>
          </w:tcPr>
          <w:p w:rsidR="00B61E44" w:rsidRDefault="00B61E44" w:rsidP="00412087">
            <w:pPr>
              <w:jc w:val="center"/>
              <w:rPr>
                <w:rFonts w:ascii="Arial" w:hAnsi="Arial" w:cs="Arial"/>
                <w:sz w:val="24"/>
                <w:szCs w:val="24"/>
              </w:rPr>
            </w:pPr>
            <w:r>
              <w:rPr>
                <w:rFonts w:ascii="Arial" w:hAnsi="Arial" w:cs="Arial"/>
                <w:sz w:val="24"/>
                <w:szCs w:val="24"/>
              </w:rPr>
              <w:t>50</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6</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43</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1</w:t>
            </w:r>
          </w:p>
        </w:tc>
      </w:tr>
      <w:tr w:rsidR="00B61E44" w:rsidTr="00B571BC">
        <w:tc>
          <w:tcPr>
            <w:tcW w:w="1811" w:type="dxa"/>
          </w:tcPr>
          <w:p w:rsidR="00B61E44" w:rsidRDefault="00B61E44" w:rsidP="00412087">
            <w:pPr>
              <w:jc w:val="both"/>
              <w:rPr>
                <w:rFonts w:ascii="Arial" w:hAnsi="Arial" w:cs="Arial"/>
                <w:sz w:val="24"/>
                <w:szCs w:val="24"/>
              </w:rPr>
            </w:pPr>
            <w:r>
              <w:rPr>
                <w:rFonts w:ascii="Arial" w:hAnsi="Arial" w:cs="Arial"/>
                <w:sz w:val="24"/>
                <w:szCs w:val="24"/>
              </w:rPr>
              <w:t>Turba</w:t>
            </w:r>
          </w:p>
        </w:tc>
        <w:tc>
          <w:tcPr>
            <w:tcW w:w="1812" w:type="dxa"/>
          </w:tcPr>
          <w:p w:rsidR="00B61E44" w:rsidRDefault="00B61E44" w:rsidP="00412087">
            <w:pPr>
              <w:jc w:val="center"/>
              <w:rPr>
                <w:rFonts w:ascii="Arial" w:hAnsi="Arial" w:cs="Arial"/>
                <w:sz w:val="24"/>
                <w:szCs w:val="24"/>
              </w:rPr>
            </w:pPr>
            <w:r>
              <w:rPr>
                <w:rFonts w:ascii="Arial" w:hAnsi="Arial" w:cs="Arial"/>
                <w:sz w:val="24"/>
                <w:szCs w:val="24"/>
              </w:rPr>
              <w:t>59</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6</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33</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2</w:t>
            </w:r>
          </w:p>
        </w:tc>
      </w:tr>
      <w:tr w:rsidR="00B571BC" w:rsidTr="00B571BC">
        <w:trPr>
          <w:trHeight w:val="317"/>
        </w:trPr>
        <w:tc>
          <w:tcPr>
            <w:tcW w:w="1811" w:type="dxa"/>
          </w:tcPr>
          <w:p w:rsidR="00B571BC" w:rsidRDefault="00B571BC" w:rsidP="00412087">
            <w:pPr>
              <w:jc w:val="both"/>
              <w:rPr>
                <w:rFonts w:ascii="Arial" w:hAnsi="Arial" w:cs="Arial"/>
                <w:sz w:val="24"/>
                <w:szCs w:val="24"/>
              </w:rPr>
            </w:pPr>
            <w:r>
              <w:rPr>
                <w:rFonts w:ascii="Arial" w:hAnsi="Arial" w:cs="Arial"/>
                <w:sz w:val="24"/>
                <w:szCs w:val="24"/>
              </w:rPr>
              <w:t>Linyit (kahverengi kömür)</w:t>
            </w:r>
          </w:p>
        </w:tc>
        <w:tc>
          <w:tcPr>
            <w:tcW w:w="1812" w:type="dxa"/>
          </w:tcPr>
          <w:p w:rsidR="00B571BC" w:rsidRDefault="00B571BC" w:rsidP="00412087">
            <w:pPr>
              <w:jc w:val="center"/>
              <w:rPr>
                <w:rFonts w:ascii="Arial" w:hAnsi="Arial" w:cs="Arial"/>
                <w:sz w:val="24"/>
                <w:szCs w:val="24"/>
              </w:rPr>
            </w:pPr>
            <w:r>
              <w:rPr>
                <w:rFonts w:ascii="Arial" w:hAnsi="Arial" w:cs="Arial"/>
                <w:sz w:val="24"/>
                <w:szCs w:val="24"/>
              </w:rPr>
              <w:t>69</w:t>
            </w:r>
          </w:p>
        </w:tc>
        <w:tc>
          <w:tcPr>
            <w:tcW w:w="1813" w:type="dxa"/>
          </w:tcPr>
          <w:p w:rsidR="00B571BC" w:rsidRDefault="001677A9" w:rsidP="00412087">
            <w:pPr>
              <w:jc w:val="center"/>
              <w:rPr>
                <w:rFonts w:ascii="Arial" w:hAnsi="Arial" w:cs="Arial"/>
                <w:sz w:val="24"/>
                <w:szCs w:val="24"/>
              </w:rPr>
            </w:pPr>
            <w:r>
              <w:rPr>
                <w:rFonts w:ascii="Arial" w:hAnsi="Arial" w:cs="Arial"/>
                <w:sz w:val="24"/>
                <w:szCs w:val="24"/>
              </w:rPr>
              <w:t>5</w:t>
            </w:r>
          </w:p>
        </w:tc>
        <w:tc>
          <w:tcPr>
            <w:tcW w:w="1813" w:type="dxa"/>
          </w:tcPr>
          <w:p w:rsidR="00B571BC" w:rsidRDefault="001677A9" w:rsidP="00412087">
            <w:pPr>
              <w:jc w:val="center"/>
              <w:rPr>
                <w:rFonts w:ascii="Arial" w:hAnsi="Arial" w:cs="Arial"/>
                <w:sz w:val="24"/>
                <w:szCs w:val="24"/>
              </w:rPr>
            </w:pPr>
            <w:r>
              <w:rPr>
                <w:rFonts w:ascii="Arial" w:hAnsi="Arial" w:cs="Arial"/>
                <w:sz w:val="24"/>
                <w:szCs w:val="24"/>
              </w:rPr>
              <w:t>25</w:t>
            </w:r>
          </w:p>
        </w:tc>
        <w:tc>
          <w:tcPr>
            <w:tcW w:w="1813" w:type="dxa"/>
          </w:tcPr>
          <w:p w:rsidR="00B571BC" w:rsidRDefault="001677A9" w:rsidP="00412087">
            <w:pPr>
              <w:jc w:val="center"/>
              <w:rPr>
                <w:rFonts w:ascii="Arial" w:hAnsi="Arial" w:cs="Arial"/>
                <w:sz w:val="24"/>
                <w:szCs w:val="24"/>
              </w:rPr>
            </w:pPr>
            <w:r>
              <w:rPr>
                <w:rFonts w:ascii="Arial" w:hAnsi="Arial" w:cs="Arial"/>
                <w:sz w:val="24"/>
                <w:szCs w:val="24"/>
              </w:rPr>
              <w:t>1</w:t>
            </w:r>
          </w:p>
        </w:tc>
      </w:tr>
      <w:tr w:rsidR="00B571BC" w:rsidTr="00B571BC">
        <w:trPr>
          <w:trHeight w:val="317"/>
        </w:trPr>
        <w:tc>
          <w:tcPr>
            <w:tcW w:w="1811" w:type="dxa"/>
          </w:tcPr>
          <w:p w:rsidR="00B571BC" w:rsidRDefault="00B571BC" w:rsidP="00412087">
            <w:pPr>
              <w:jc w:val="both"/>
              <w:rPr>
                <w:rFonts w:ascii="Arial" w:hAnsi="Arial" w:cs="Arial"/>
                <w:sz w:val="24"/>
                <w:szCs w:val="24"/>
              </w:rPr>
            </w:pPr>
            <w:r>
              <w:rPr>
                <w:rFonts w:ascii="Arial" w:hAnsi="Arial" w:cs="Arial"/>
                <w:sz w:val="24"/>
                <w:szCs w:val="24"/>
              </w:rPr>
              <w:t xml:space="preserve">Bitümlü kömür </w:t>
            </w:r>
            <w:proofErr w:type="gramStart"/>
            <w:r>
              <w:rPr>
                <w:rFonts w:ascii="Arial" w:hAnsi="Arial" w:cs="Arial"/>
                <w:sz w:val="24"/>
                <w:szCs w:val="24"/>
              </w:rPr>
              <w:t>(</w:t>
            </w:r>
            <w:proofErr w:type="gramEnd"/>
            <w:r>
              <w:rPr>
                <w:rFonts w:ascii="Arial" w:hAnsi="Arial" w:cs="Arial"/>
                <w:sz w:val="24"/>
                <w:szCs w:val="24"/>
              </w:rPr>
              <w:t>yumuşak kömür</w:t>
            </w:r>
          </w:p>
        </w:tc>
        <w:tc>
          <w:tcPr>
            <w:tcW w:w="1812" w:type="dxa"/>
          </w:tcPr>
          <w:p w:rsidR="00B571BC" w:rsidRDefault="00B571BC" w:rsidP="00412087">
            <w:pPr>
              <w:jc w:val="center"/>
              <w:rPr>
                <w:rFonts w:ascii="Arial" w:hAnsi="Arial" w:cs="Arial"/>
                <w:sz w:val="24"/>
                <w:szCs w:val="24"/>
              </w:rPr>
            </w:pPr>
            <w:r>
              <w:rPr>
                <w:rFonts w:ascii="Arial" w:hAnsi="Arial" w:cs="Arial"/>
                <w:sz w:val="24"/>
                <w:szCs w:val="24"/>
              </w:rPr>
              <w:t>88-89</w:t>
            </w:r>
          </w:p>
        </w:tc>
        <w:tc>
          <w:tcPr>
            <w:tcW w:w="1813" w:type="dxa"/>
          </w:tcPr>
          <w:p w:rsidR="00B571BC" w:rsidRDefault="001677A9" w:rsidP="00412087">
            <w:pPr>
              <w:jc w:val="center"/>
              <w:rPr>
                <w:rFonts w:ascii="Arial" w:hAnsi="Arial" w:cs="Arial"/>
                <w:sz w:val="24"/>
                <w:szCs w:val="24"/>
              </w:rPr>
            </w:pPr>
            <w:r>
              <w:rPr>
                <w:rFonts w:ascii="Arial" w:hAnsi="Arial" w:cs="Arial"/>
                <w:sz w:val="24"/>
                <w:szCs w:val="24"/>
              </w:rPr>
              <w:t>5</w:t>
            </w:r>
          </w:p>
        </w:tc>
        <w:tc>
          <w:tcPr>
            <w:tcW w:w="1813" w:type="dxa"/>
          </w:tcPr>
          <w:p w:rsidR="00B571BC" w:rsidRDefault="001677A9" w:rsidP="00412087">
            <w:pPr>
              <w:jc w:val="center"/>
              <w:rPr>
                <w:rFonts w:ascii="Arial" w:hAnsi="Arial" w:cs="Arial"/>
                <w:sz w:val="24"/>
                <w:szCs w:val="24"/>
              </w:rPr>
            </w:pPr>
            <w:r>
              <w:rPr>
                <w:rFonts w:ascii="Arial" w:hAnsi="Arial" w:cs="Arial"/>
                <w:sz w:val="24"/>
                <w:szCs w:val="24"/>
              </w:rPr>
              <w:t>5-15</w:t>
            </w:r>
          </w:p>
        </w:tc>
        <w:tc>
          <w:tcPr>
            <w:tcW w:w="1813" w:type="dxa"/>
          </w:tcPr>
          <w:p w:rsidR="00B571BC" w:rsidRDefault="001677A9" w:rsidP="00412087">
            <w:pPr>
              <w:jc w:val="center"/>
              <w:rPr>
                <w:rFonts w:ascii="Arial" w:hAnsi="Arial" w:cs="Arial"/>
                <w:sz w:val="24"/>
                <w:szCs w:val="24"/>
              </w:rPr>
            </w:pPr>
            <w:r>
              <w:rPr>
                <w:rFonts w:ascii="Arial" w:hAnsi="Arial" w:cs="Arial"/>
                <w:sz w:val="24"/>
                <w:szCs w:val="24"/>
              </w:rPr>
              <w:t>1</w:t>
            </w:r>
          </w:p>
        </w:tc>
      </w:tr>
      <w:tr w:rsidR="00B61E44" w:rsidTr="00B571BC">
        <w:tc>
          <w:tcPr>
            <w:tcW w:w="1811" w:type="dxa"/>
          </w:tcPr>
          <w:p w:rsidR="00B61E44" w:rsidRDefault="00B61E44" w:rsidP="00412087">
            <w:pPr>
              <w:jc w:val="both"/>
              <w:rPr>
                <w:rFonts w:ascii="Arial" w:hAnsi="Arial" w:cs="Arial"/>
                <w:sz w:val="24"/>
                <w:szCs w:val="24"/>
              </w:rPr>
            </w:pPr>
            <w:r>
              <w:rPr>
                <w:rFonts w:ascii="Arial" w:hAnsi="Arial" w:cs="Arial"/>
                <w:sz w:val="24"/>
                <w:szCs w:val="24"/>
              </w:rPr>
              <w:t>Antrasit (sert kömür)</w:t>
            </w:r>
          </w:p>
        </w:tc>
        <w:tc>
          <w:tcPr>
            <w:tcW w:w="1812" w:type="dxa"/>
          </w:tcPr>
          <w:p w:rsidR="00B61E44" w:rsidRDefault="00B571BC" w:rsidP="00412087">
            <w:pPr>
              <w:jc w:val="center"/>
              <w:rPr>
                <w:rFonts w:ascii="Arial" w:hAnsi="Arial" w:cs="Arial"/>
                <w:sz w:val="24"/>
                <w:szCs w:val="24"/>
              </w:rPr>
            </w:pPr>
            <w:r>
              <w:rPr>
                <w:rFonts w:ascii="Arial" w:hAnsi="Arial" w:cs="Arial"/>
                <w:sz w:val="24"/>
                <w:szCs w:val="24"/>
              </w:rPr>
              <w:t>95</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2-3</w:t>
            </w:r>
          </w:p>
        </w:tc>
        <w:tc>
          <w:tcPr>
            <w:tcW w:w="1813" w:type="dxa"/>
          </w:tcPr>
          <w:p w:rsidR="00B61E44" w:rsidRDefault="001677A9" w:rsidP="00412087">
            <w:pPr>
              <w:jc w:val="center"/>
              <w:rPr>
                <w:rFonts w:ascii="Arial" w:hAnsi="Arial" w:cs="Arial"/>
                <w:sz w:val="24"/>
                <w:szCs w:val="24"/>
              </w:rPr>
            </w:pPr>
            <w:r>
              <w:rPr>
                <w:rFonts w:ascii="Arial" w:hAnsi="Arial" w:cs="Arial"/>
                <w:sz w:val="24"/>
                <w:szCs w:val="24"/>
              </w:rPr>
              <w:t>2-3</w:t>
            </w:r>
          </w:p>
        </w:tc>
        <w:tc>
          <w:tcPr>
            <w:tcW w:w="1813" w:type="dxa"/>
          </w:tcPr>
          <w:p w:rsidR="00B61E44" w:rsidRDefault="001677A9" w:rsidP="00412087">
            <w:pPr>
              <w:jc w:val="center"/>
              <w:rPr>
                <w:rFonts w:ascii="Arial" w:hAnsi="Arial" w:cs="Arial"/>
                <w:sz w:val="24"/>
                <w:szCs w:val="24"/>
              </w:rPr>
            </w:pPr>
            <w:proofErr w:type="gramStart"/>
            <w:r>
              <w:rPr>
                <w:rFonts w:ascii="Arial" w:hAnsi="Arial" w:cs="Arial"/>
                <w:sz w:val="24"/>
                <w:szCs w:val="24"/>
              </w:rPr>
              <w:t>eser</w:t>
            </w:r>
            <w:proofErr w:type="gramEnd"/>
            <w:r>
              <w:rPr>
                <w:rFonts w:ascii="Arial" w:hAnsi="Arial" w:cs="Arial"/>
                <w:sz w:val="24"/>
                <w:szCs w:val="24"/>
              </w:rPr>
              <w:t xml:space="preserve"> miktarda</w:t>
            </w:r>
          </w:p>
        </w:tc>
      </w:tr>
      <w:tr w:rsidR="00B571BC" w:rsidTr="006630F0">
        <w:tc>
          <w:tcPr>
            <w:tcW w:w="9062" w:type="dxa"/>
            <w:gridSpan w:val="5"/>
          </w:tcPr>
          <w:p w:rsidR="00B571BC" w:rsidRPr="00B571BC" w:rsidRDefault="00B571BC" w:rsidP="00412087">
            <w:pPr>
              <w:jc w:val="both"/>
              <w:rPr>
                <w:rFonts w:ascii="Arial" w:hAnsi="Arial" w:cs="Arial"/>
                <w:i/>
                <w:sz w:val="20"/>
                <w:szCs w:val="20"/>
              </w:rPr>
            </w:pPr>
            <w:r>
              <w:rPr>
                <w:rFonts w:ascii="Arial" w:hAnsi="Arial" w:cs="Arial"/>
                <w:i/>
                <w:sz w:val="20"/>
                <w:szCs w:val="20"/>
              </w:rPr>
              <w:t xml:space="preserve">Kaynak: M.G: </w:t>
            </w:r>
            <w:proofErr w:type="spellStart"/>
            <w:r>
              <w:rPr>
                <w:rFonts w:ascii="Arial" w:hAnsi="Arial" w:cs="Arial"/>
                <w:i/>
                <w:sz w:val="20"/>
                <w:szCs w:val="20"/>
              </w:rPr>
              <w:t>Zabetakis</w:t>
            </w:r>
            <w:proofErr w:type="spellEnd"/>
            <w:r>
              <w:rPr>
                <w:rFonts w:ascii="Arial" w:hAnsi="Arial" w:cs="Arial"/>
                <w:i/>
                <w:sz w:val="20"/>
                <w:szCs w:val="20"/>
              </w:rPr>
              <w:t xml:space="preserve"> </w:t>
            </w:r>
            <w:proofErr w:type="spellStart"/>
            <w:r>
              <w:rPr>
                <w:rFonts w:ascii="Arial" w:hAnsi="Arial" w:cs="Arial"/>
                <w:i/>
                <w:sz w:val="20"/>
                <w:szCs w:val="20"/>
              </w:rPr>
              <w:t>and</w:t>
            </w:r>
            <w:proofErr w:type="spellEnd"/>
            <w:r>
              <w:rPr>
                <w:rFonts w:ascii="Arial" w:hAnsi="Arial" w:cs="Arial"/>
                <w:i/>
                <w:sz w:val="20"/>
                <w:szCs w:val="20"/>
              </w:rPr>
              <w:t xml:space="preserve"> </w:t>
            </w:r>
            <w:proofErr w:type="spellStart"/>
            <w:r>
              <w:rPr>
                <w:rFonts w:ascii="Arial" w:hAnsi="Arial" w:cs="Arial"/>
                <w:i/>
                <w:sz w:val="20"/>
                <w:szCs w:val="20"/>
              </w:rPr>
              <w:t>L.Phillips</w:t>
            </w:r>
            <w:proofErr w:type="spellEnd"/>
            <w:r>
              <w:rPr>
                <w:rFonts w:ascii="Arial" w:hAnsi="Arial" w:cs="Arial"/>
                <w:i/>
                <w:sz w:val="20"/>
                <w:szCs w:val="20"/>
              </w:rPr>
              <w:t xml:space="preserve"> “</w:t>
            </w:r>
            <w:proofErr w:type="spellStart"/>
            <w:r>
              <w:rPr>
                <w:rFonts w:ascii="Arial" w:hAnsi="Arial" w:cs="Arial"/>
                <w:i/>
                <w:sz w:val="20"/>
                <w:szCs w:val="20"/>
              </w:rPr>
              <w:t>Coal</w:t>
            </w:r>
            <w:proofErr w:type="spellEnd"/>
            <w:r>
              <w:rPr>
                <w:rFonts w:ascii="Arial" w:hAnsi="Arial" w:cs="Arial"/>
                <w:i/>
                <w:sz w:val="20"/>
                <w:szCs w:val="20"/>
              </w:rPr>
              <w:t xml:space="preserve"> </w:t>
            </w:r>
            <w:proofErr w:type="spellStart"/>
            <w:r>
              <w:rPr>
                <w:rFonts w:ascii="Arial" w:hAnsi="Arial" w:cs="Arial"/>
                <w:i/>
                <w:sz w:val="20"/>
                <w:szCs w:val="20"/>
              </w:rPr>
              <w:t>Mining</w:t>
            </w:r>
            <w:proofErr w:type="spellEnd"/>
            <w:r>
              <w:rPr>
                <w:rFonts w:ascii="Arial" w:hAnsi="Arial" w:cs="Arial"/>
                <w:i/>
                <w:sz w:val="20"/>
                <w:szCs w:val="20"/>
              </w:rPr>
              <w:t xml:space="preserve">” Washington D.C: U.S. </w:t>
            </w:r>
            <w:proofErr w:type="spellStart"/>
            <w:r>
              <w:rPr>
                <w:rFonts w:ascii="Arial" w:hAnsi="Arial" w:cs="Arial"/>
                <w:i/>
                <w:sz w:val="20"/>
                <w:szCs w:val="20"/>
              </w:rPr>
              <w:t>Government</w:t>
            </w:r>
            <w:proofErr w:type="spellEnd"/>
            <w:r>
              <w:rPr>
                <w:rFonts w:ascii="Arial" w:hAnsi="Arial" w:cs="Arial"/>
                <w:i/>
                <w:sz w:val="20"/>
                <w:szCs w:val="20"/>
              </w:rPr>
              <w:t xml:space="preserve"> Printing Office, 1975</w:t>
            </w:r>
          </w:p>
        </w:tc>
      </w:tr>
    </w:tbl>
    <w:p w:rsidR="00B61E44" w:rsidRDefault="00B61E44" w:rsidP="00412087">
      <w:pPr>
        <w:jc w:val="both"/>
        <w:rPr>
          <w:rFonts w:ascii="Arial" w:hAnsi="Arial" w:cs="Arial"/>
          <w:sz w:val="24"/>
          <w:szCs w:val="24"/>
        </w:rPr>
      </w:pPr>
    </w:p>
    <w:p w:rsidR="002F5835" w:rsidRDefault="002F5835" w:rsidP="00412087">
      <w:pPr>
        <w:jc w:val="both"/>
        <w:rPr>
          <w:rFonts w:ascii="Arial" w:hAnsi="Arial" w:cs="Arial"/>
          <w:sz w:val="24"/>
          <w:szCs w:val="24"/>
        </w:rPr>
      </w:pPr>
    </w:p>
    <w:p w:rsidR="002F5835" w:rsidRDefault="002F5835" w:rsidP="00412087">
      <w:pPr>
        <w:jc w:val="both"/>
        <w:rPr>
          <w:rFonts w:ascii="Arial" w:hAnsi="Arial" w:cs="Arial"/>
          <w:sz w:val="24"/>
          <w:szCs w:val="24"/>
        </w:rPr>
      </w:pPr>
      <w:r>
        <w:rPr>
          <w:rFonts w:ascii="Arial" w:hAnsi="Arial" w:cs="Arial"/>
          <w:sz w:val="24"/>
          <w:szCs w:val="24"/>
        </w:rPr>
        <w:t xml:space="preserve">Bazı bitkiler su ve çamur altında kalırlar. Burada oksijen olmadığından kısmi </w:t>
      </w:r>
      <w:proofErr w:type="spellStart"/>
      <w:r>
        <w:rPr>
          <w:rFonts w:ascii="Arial" w:hAnsi="Arial" w:cs="Arial"/>
          <w:sz w:val="24"/>
          <w:szCs w:val="24"/>
        </w:rPr>
        <w:t>bozunma</w:t>
      </w:r>
      <w:proofErr w:type="spellEnd"/>
      <w:r>
        <w:rPr>
          <w:rFonts w:ascii="Arial" w:hAnsi="Arial" w:cs="Arial"/>
          <w:sz w:val="24"/>
          <w:szCs w:val="24"/>
        </w:rPr>
        <w:t xml:space="preserve"> oluşur. Bitki başlıca selüloz yapısındadır ve bu yapı karbon, hidrojen ve oksijen elementlerini içerir</w:t>
      </w:r>
      <w:r w:rsidR="00D068B7">
        <w:rPr>
          <w:rFonts w:ascii="Arial" w:hAnsi="Arial" w:cs="Arial"/>
          <w:sz w:val="24"/>
          <w:szCs w:val="24"/>
        </w:rPr>
        <w:t xml:space="preserve">. Gömülü bitkilerin yapısındaki selüloz artan basıncın etkisiyle </w:t>
      </w:r>
      <w:proofErr w:type="spellStart"/>
      <w:r w:rsidR="00D068B7">
        <w:rPr>
          <w:rFonts w:ascii="Arial" w:hAnsi="Arial" w:cs="Arial"/>
          <w:sz w:val="24"/>
          <w:szCs w:val="24"/>
        </w:rPr>
        <w:t>bozunmaya</w:t>
      </w:r>
      <w:proofErr w:type="spellEnd"/>
      <w:r w:rsidR="00D068B7">
        <w:rPr>
          <w:rFonts w:ascii="Arial" w:hAnsi="Arial" w:cs="Arial"/>
          <w:sz w:val="24"/>
          <w:szCs w:val="24"/>
        </w:rPr>
        <w:t xml:space="preserve"> başlar. Oksijen ve hidrojen içeren küçük moleküller yapıdan ayrılır ve geride karbonca zengin </w:t>
      </w:r>
      <w:proofErr w:type="gramStart"/>
      <w:r w:rsidR="00D068B7">
        <w:rPr>
          <w:rFonts w:ascii="Arial" w:hAnsi="Arial" w:cs="Arial"/>
          <w:sz w:val="24"/>
          <w:szCs w:val="24"/>
        </w:rPr>
        <w:t>fraksiyon</w:t>
      </w:r>
      <w:proofErr w:type="gramEnd"/>
      <w:r w:rsidR="00D068B7">
        <w:rPr>
          <w:rFonts w:ascii="Arial" w:hAnsi="Arial" w:cs="Arial"/>
          <w:sz w:val="24"/>
          <w:szCs w:val="24"/>
        </w:rPr>
        <w:t xml:space="preserve"> kalır. Turba, bu şekilde oluşmaya başlayan en genç kömürdür. </w:t>
      </w:r>
      <w:r w:rsidR="00412087">
        <w:rPr>
          <w:rFonts w:ascii="Arial" w:hAnsi="Arial" w:cs="Arial"/>
          <w:sz w:val="24"/>
          <w:szCs w:val="24"/>
        </w:rPr>
        <w:t>Antrasit ise tam olarak karbonlaşmış kömür olarak kabul edilir.</w:t>
      </w:r>
      <w:r w:rsidR="009B6403">
        <w:rPr>
          <w:rFonts w:ascii="Arial" w:hAnsi="Arial" w:cs="Arial"/>
          <w:sz w:val="24"/>
          <w:szCs w:val="24"/>
        </w:rPr>
        <w:t xml:space="preserve"> </w:t>
      </w:r>
    </w:p>
    <w:p w:rsidR="008C742F" w:rsidRDefault="008C742F" w:rsidP="00412087">
      <w:pPr>
        <w:jc w:val="both"/>
        <w:rPr>
          <w:rFonts w:ascii="Arial" w:hAnsi="Arial" w:cs="Arial"/>
          <w:sz w:val="24"/>
          <w:szCs w:val="24"/>
        </w:rPr>
      </w:pPr>
      <w:r>
        <w:rPr>
          <w:rFonts w:ascii="Arial" w:hAnsi="Arial" w:cs="Arial"/>
          <w:sz w:val="24"/>
          <w:szCs w:val="24"/>
        </w:rPr>
        <w:t>Doğada hala fosil yakıt oluşumu devam etmektedir. Bu olgu turba içeren bataklıklarda daha belirgin olmaktadır. Bu oluşum çok yavaş olduğundan, fosil yakıtların tüketim hızı oluşum hızından yaklaşık 50000 kez daha fazladır.</w:t>
      </w:r>
    </w:p>
    <w:p w:rsidR="00096F02" w:rsidRDefault="001C020E" w:rsidP="00B5795B">
      <w:pPr>
        <w:jc w:val="both"/>
        <w:rPr>
          <w:rFonts w:ascii="Arial" w:hAnsi="Arial" w:cs="Arial"/>
          <w:sz w:val="24"/>
          <w:szCs w:val="24"/>
        </w:rPr>
      </w:pPr>
      <w:r>
        <w:rPr>
          <w:rFonts w:ascii="Arial" w:hAnsi="Arial" w:cs="Arial"/>
          <w:sz w:val="24"/>
          <w:szCs w:val="24"/>
        </w:rPr>
        <w:t xml:space="preserve">Tarihin ilk çağlarında insanların kullandığı kömür miktarı çok azdı. 1760’lı yıllardan sonra pratik amaçlarla kömür tüketimi çok fazla olmuştur. Doğada mevcut kömürün %90 2ının 300 yıl içinde çıkarılıp tüketileceği tahmin edilmektedir. Jeolojik </w:t>
      </w:r>
      <w:proofErr w:type="gramStart"/>
      <w:r>
        <w:rPr>
          <w:rFonts w:ascii="Arial" w:hAnsi="Arial" w:cs="Arial"/>
          <w:sz w:val="24"/>
          <w:szCs w:val="24"/>
        </w:rPr>
        <w:t>skalada</w:t>
      </w:r>
      <w:proofErr w:type="gramEnd"/>
      <w:r>
        <w:rPr>
          <w:rFonts w:ascii="Arial" w:hAnsi="Arial" w:cs="Arial"/>
          <w:sz w:val="24"/>
          <w:szCs w:val="24"/>
        </w:rPr>
        <w:t xml:space="preserve"> bu süre çok kısa bir </w:t>
      </w:r>
      <w:r w:rsidR="00CC53D1">
        <w:rPr>
          <w:rFonts w:ascii="Arial" w:hAnsi="Arial" w:cs="Arial"/>
          <w:sz w:val="24"/>
          <w:szCs w:val="24"/>
        </w:rPr>
        <w:t xml:space="preserve">süre </w:t>
      </w:r>
      <w:r>
        <w:rPr>
          <w:rFonts w:ascii="Arial" w:hAnsi="Arial" w:cs="Arial"/>
          <w:sz w:val="24"/>
          <w:szCs w:val="24"/>
        </w:rPr>
        <w:t>olarak kabul edilir.</w:t>
      </w:r>
    </w:p>
    <w:p w:rsidR="00B24B72" w:rsidRPr="00B24B72" w:rsidRDefault="00B24B72" w:rsidP="00B24B72">
      <w:pPr>
        <w:autoSpaceDE w:val="0"/>
        <w:autoSpaceDN w:val="0"/>
        <w:adjustRightInd w:val="0"/>
        <w:spacing w:after="0" w:line="240" w:lineRule="auto"/>
        <w:rPr>
          <w:rFonts w:ascii="Arial" w:hAnsi="Arial" w:cs="Arial"/>
          <w:b/>
          <w:bCs/>
          <w:color w:val="000000"/>
          <w:sz w:val="24"/>
          <w:szCs w:val="24"/>
        </w:rPr>
      </w:pPr>
      <w:r w:rsidRPr="00B24B72">
        <w:rPr>
          <w:rFonts w:ascii="Arial" w:hAnsi="Arial" w:cs="Arial"/>
          <w:b/>
          <w:bCs/>
          <w:color w:val="000000"/>
          <w:sz w:val="24"/>
          <w:szCs w:val="24"/>
        </w:rPr>
        <w:t>Türkiye Kömür Rezervleri</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r w:rsidRPr="00B24B72">
        <w:rPr>
          <w:rFonts w:ascii="Arial" w:hAnsi="Arial" w:cs="Arial"/>
          <w:color w:val="000000"/>
          <w:sz w:val="24"/>
          <w:szCs w:val="24"/>
        </w:rPr>
        <w:t>Türkiye’de kömür genel olarak linyit ve taşkömürü başlıkları altında</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color w:val="000000"/>
          <w:sz w:val="24"/>
          <w:szCs w:val="24"/>
        </w:rPr>
        <w:t>değerlendirilmekte</w:t>
      </w:r>
      <w:proofErr w:type="gramEnd"/>
      <w:r w:rsidRPr="00B24B72">
        <w:rPr>
          <w:rFonts w:ascii="Arial" w:hAnsi="Arial" w:cs="Arial"/>
          <w:color w:val="000000"/>
          <w:sz w:val="24"/>
          <w:szCs w:val="24"/>
        </w:rPr>
        <w:t xml:space="preserve"> olup taşkömürü rezervleri TTK tarafından, linyit rezervlerimiz ise</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r w:rsidRPr="00B24B72">
        <w:rPr>
          <w:rFonts w:ascii="Arial" w:hAnsi="Arial" w:cs="Arial"/>
          <w:color w:val="000000"/>
          <w:sz w:val="24"/>
          <w:szCs w:val="24"/>
        </w:rPr>
        <w:t>Elektrik Üretim Anonim Şirketi (EÜAŞ), Türkiye Kömür İşletmeleri(TKİ) ve özel sektör</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color w:val="000000"/>
          <w:sz w:val="24"/>
          <w:szCs w:val="24"/>
        </w:rPr>
        <w:t>tarafından</w:t>
      </w:r>
      <w:proofErr w:type="gramEnd"/>
      <w:r w:rsidRPr="00B24B72">
        <w:rPr>
          <w:rFonts w:ascii="Arial" w:hAnsi="Arial" w:cs="Arial"/>
          <w:color w:val="000000"/>
          <w:sz w:val="24"/>
          <w:szCs w:val="24"/>
        </w:rPr>
        <w:t xml:space="preserve"> işletilmektedir. Taş kömürlerinin tamamı linyitlerinin ise %88 ‘i kamuya ait</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color w:val="000000"/>
          <w:sz w:val="24"/>
          <w:szCs w:val="24"/>
        </w:rPr>
        <w:t>ruhsat</w:t>
      </w:r>
      <w:proofErr w:type="gramEnd"/>
      <w:r w:rsidRPr="00B24B72">
        <w:rPr>
          <w:rFonts w:ascii="Arial" w:hAnsi="Arial" w:cs="Arial"/>
          <w:color w:val="000000"/>
          <w:sz w:val="24"/>
          <w:szCs w:val="24"/>
        </w:rPr>
        <w:t xml:space="preserve"> sınırları içinde bulunmaktadır. Bunların dışında asfaltit ve </w:t>
      </w:r>
      <w:proofErr w:type="spellStart"/>
      <w:r w:rsidRPr="00B24B72">
        <w:rPr>
          <w:rFonts w:ascii="Arial" w:hAnsi="Arial" w:cs="Arial"/>
          <w:color w:val="000000"/>
          <w:sz w:val="24"/>
          <w:szCs w:val="24"/>
        </w:rPr>
        <w:t>petrokok</w:t>
      </w:r>
      <w:proofErr w:type="spellEnd"/>
      <w:r w:rsidRPr="00B24B72">
        <w:rPr>
          <w:rFonts w:ascii="Arial" w:hAnsi="Arial" w:cs="Arial"/>
          <w:color w:val="000000"/>
          <w:sz w:val="24"/>
          <w:szCs w:val="24"/>
        </w:rPr>
        <w:t xml:space="preserve"> ise oluşum</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color w:val="000000"/>
          <w:sz w:val="24"/>
          <w:szCs w:val="24"/>
        </w:rPr>
        <w:t>bakımından</w:t>
      </w:r>
      <w:proofErr w:type="gramEnd"/>
      <w:r w:rsidRPr="00B24B72">
        <w:rPr>
          <w:rFonts w:ascii="Arial" w:hAnsi="Arial" w:cs="Arial"/>
          <w:color w:val="000000"/>
          <w:sz w:val="24"/>
          <w:szCs w:val="24"/>
        </w:rPr>
        <w:t xml:space="preserve"> petrol kökenli olmakla birlikte, katı fosil yakıt kapsamında kömürlerle</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color w:val="000000"/>
          <w:sz w:val="24"/>
          <w:szCs w:val="24"/>
        </w:rPr>
        <w:t>birlikte</w:t>
      </w:r>
      <w:proofErr w:type="gramEnd"/>
      <w:r w:rsidRPr="00B24B72">
        <w:rPr>
          <w:rFonts w:ascii="Arial" w:hAnsi="Arial" w:cs="Arial"/>
          <w:color w:val="000000"/>
          <w:sz w:val="24"/>
          <w:szCs w:val="24"/>
        </w:rPr>
        <w:t xml:space="preserve"> incelenmiştir.</w:t>
      </w:r>
    </w:p>
    <w:p w:rsidR="00B24B72" w:rsidRPr="00B24B72" w:rsidRDefault="00B24B72" w:rsidP="00B24B72">
      <w:pPr>
        <w:autoSpaceDE w:val="0"/>
        <w:autoSpaceDN w:val="0"/>
        <w:adjustRightInd w:val="0"/>
        <w:spacing w:after="0" w:line="276" w:lineRule="auto"/>
        <w:rPr>
          <w:rFonts w:ascii="Arial" w:hAnsi="Arial" w:cs="Arial"/>
          <w:i/>
          <w:iCs/>
          <w:color w:val="000000"/>
          <w:sz w:val="24"/>
          <w:szCs w:val="24"/>
        </w:rPr>
      </w:pPr>
      <w:r w:rsidRPr="00B24B72">
        <w:rPr>
          <w:rFonts w:ascii="Arial" w:hAnsi="Arial" w:cs="Arial"/>
          <w:i/>
          <w:iCs/>
          <w:color w:val="000000"/>
          <w:sz w:val="24"/>
          <w:szCs w:val="24"/>
        </w:rPr>
        <w:lastRenderedPageBreak/>
        <w:t>Dünya Enerji Konseyi Türk Milli Komitesi • Enerji Raporu 2013</w:t>
      </w:r>
    </w:p>
    <w:p w:rsidR="00B24B72" w:rsidRPr="00B24B72" w:rsidRDefault="00B24B72" w:rsidP="00B24B72">
      <w:pPr>
        <w:autoSpaceDE w:val="0"/>
        <w:autoSpaceDN w:val="0"/>
        <w:adjustRightInd w:val="0"/>
        <w:spacing w:after="0" w:line="276" w:lineRule="auto"/>
        <w:rPr>
          <w:rFonts w:ascii="Arial" w:hAnsi="Arial" w:cs="Arial"/>
          <w:b/>
          <w:bCs/>
          <w:color w:val="000000"/>
          <w:sz w:val="24"/>
          <w:szCs w:val="24"/>
        </w:rPr>
      </w:pPr>
      <w:r w:rsidRPr="00B24B72">
        <w:rPr>
          <w:rFonts w:ascii="Arial" w:hAnsi="Arial" w:cs="Arial"/>
          <w:color w:val="000000"/>
          <w:sz w:val="24"/>
          <w:szCs w:val="24"/>
        </w:rPr>
        <w:t xml:space="preserve">Ülkemizde, çok sınırlı doğal gaz ve petrol rezervlerine karşın, </w:t>
      </w:r>
      <w:r w:rsidRPr="00B24B72">
        <w:rPr>
          <w:rFonts w:ascii="Arial" w:hAnsi="Arial" w:cs="Arial"/>
          <w:b/>
          <w:bCs/>
          <w:color w:val="000000"/>
          <w:sz w:val="24"/>
          <w:szCs w:val="24"/>
        </w:rPr>
        <w:t>512 milyon tonu</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b/>
          <w:bCs/>
          <w:color w:val="000000"/>
          <w:sz w:val="24"/>
          <w:szCs w:val="24"/>
        </w:rPr>
        <w:t>görünür</w:t>
      </w:r>
      <w:proofErr w:type="gramEnd"/>
      <w:r w:rsidRPr="00B24B72">
        <w:rPr>
          <w:rFonts w:ascii="Arial" w:hAnsi="Arial" w:cs="Arial"/>
          <w:b/>
          <w:bCs/>
          <w:color w:val="000000"/>
          <w:sz w:val="24"/>
          <w:szCs w:val="24"/>
        </w:rPr>
        <w:t xml:space="preserve"> </w:t>
      </w:r>
      <w:r w:rsidRPr="00B24B72">
        <w:rPr>
          <w:rFonts w:ascii="Arial" w:hAnsi="Arial" w:cs="Arial"/>
          <w:color w:val="000000"/>
          <w:sz w:val="24"/>
          <w:szCs w:val="24"/>
        </w:rPr>
        <w:t xml:space="preserve">olmak üzere, yaklaşık </w:t>
      </w:r>
      <w:r w:rsidRPr="00B24B72">
        <w:rPr>
          <w:rFonts w:ascii="Arial" w:hAnsi="Arial" w:cs="Arial"/>
          <w:b/>
          <w:bCs/>
          <w:color w:val="000000"/>
          <w:sz w:val="24"/>
          <w:szCs w:val="24"/>
        </w:rPr>
        <w:t xml:space="preserve">1,3 milyar ton taşkömürü </w:t>
      </w:r>
      <w:r w:rsidRPr="00B24B72">
        <w:rPr>
          <w:rFonts w:ascii="Arial" w:hAnsi="Arial" w:cs="Arial"/>
          <w:color w:val="000000"/>
          <w:sz w:val="24"/>
          <w:szCs w:val="24"/>
        </w:rPr>
        <w:t xml:space="preserve">ve </w:t>
      </w:r>
      <w:r w:rsidRPr="00B24B72">
        <w:rPr>
          <w:rFonts w:ascii="Arial" w:hAnsi="Arial" w:cs="Arial"/>
          <w:b/>
          <w:bCs/>
          <w:color w:val="000000"/>
          <w:sz w:val="24"/>
          <w:szCs w:val="24"/>
        </w:rPr>
        <w:t xml:space="preserve">13 </w:t>
      </w:r>
      <w:r w:rsidRPr="00B24B72">
        <w:rPr>
          <w:rFonts w:ascii="Arial" w:hAnsi="Arial" w:cs="Arial"/>
          <w:color w:val="000000"/>
          <w:sz w:val="24"/>
          <w:szCs w:val="24"/>
        </w:rPr>
        <w:t>milyar tonu görünür</w:t>
      </w:r>
    </w:p>
    <w:p w:rsidR="00B24B72" w:rsidRPr="00B24B72" w:rsidRDefault="00B24B72" w:rsidP="00B24B72">
      <w:pPr>
        <w:autoSpaceDE w:val="0"/>
        <w:autoSpaceDN w:val="0"/>
        <w:adjustRightInd w:val="0"/>
        <w:spacing w:after="0" w:line="276" w:lineRule="auto"/>
        <w:rPr>
          <w:rFonts w:ascii="Arial" w:hAnsi="Arial" w:cs="Arial"/>
          <w:b/>
          <w:bCs/>
          <w:color w:val="000000"/>
          <w:sz w:val="24"/>
          <w:szCs w:val="24"/>
        </w:rPr>
      </w:pPr>
      <w:proofErr w:type="gramStart"/>
      <w:r w:rsidRPr="00B24B72">
        <w:rPr>
          <w:rFonts w:ascii="Arial" w:hAnsi="Arial" w:cs="Arial"/>
          <w:color w:val="000000"/>
          <w:sz w:val="24"/>
          <w:szCs w:val="24"/>
        </w:rPr>
        <w:t>rezerv</w:t>
      </w:r>
      <w:proofErr w:type="gramEnd"/>
      <w:r w:rsidRPr="00B24B72">
        <w:rPr>
          <w:rFonts w:ascii="Arial" w:hAnsi="Arial" w:cs="Arial"/>
          <w:color w:val="000000"/>
          <w:sz w:val="24"/>
          <w:szCs w:val="24"/>
        </w:rPr>
        <w:t xml:space="preserve"> niteliğinde toplam </w:t>
      </w:r>
      <w:r w:rsidRPr="00B24B72">
        <w:rPr>
          <w:rFonts w:ascii="Arial" w:hAnsi="Arial" w:cs="Arial"/>
          <w:b/>
          <w:bCs/>
          <w:color w:val="000000"/>
          <w:sz w:val="24"/>
          <w:szCs w:val="24"/>
        </w:rPr>
        <w:t xml:space="preserve">14 milyar ton linyit </w:t>
      </w:r>
      <w:r w:rsidRPr="00B24B72">
        <w:rPr>
          <w:rFonts w:ascii="Arial" w:hAnsi="Arial" w:cs="Arial"/>
          <w:color w:val="000000"/>
          <w:sz w:val="24"/>
          <w:szCs w:val="24"/>
        </w:rPr>
        <w:t xml:space="preserve">rezervi bulunmaktadır. </w:t>
      </w:r>
      <w:r w:rsidRPr="00B24B72">
        <w:rPr>
          <w:rFonts w:ascii="Arial" w:hAnsi="Arial" w:cs="Arial"/>
          <w:b/>
          <w:bCs/>
          <w:color w:val="000000"/>
          <w:sz w:val="24"/>
          <w:szCs w:val="24"/>
        </w:rPr>
        <w:t>Ancak</w:t>
      </w:r>
    </w:p>
    <w:p w:rsidR="00B24B72" w:rsidRPr="00B24B72" w:rsidRDefault="00B24B72" w:rsidP="00B24B72">
      <w:pPr>
        <w:autoSpaceDE w:val="0"/>
        <w:autoSpaceDN w:val="0"/>
        <w:adjustRightInd w:val="0"/>
        <w:spacing w:after="0" w:line="276" w:lineRule="auto"/>
        <w:rPr>
          <w:rFonts w:ascii="Arial" w:hAnsi="Arial" w:cs="Arial"/>
          <w:b/>
          <w:bCs/>
          <w:color w:val="000000"/>
          <w:sz w:val="24"/>
          <w:szCs w:val="24"/>
        </w:rPr>
      </w:pPr>
      <w:r w:rsidRPr="00B24B72">
        <w:rPr>
          <w:rFonts w:ascii="Arial" w:hAnsi="Arial" w:cs="Arial"/>
          <w:b/>
          <w:bCs/>
          <w:color w:val="000000"/>
          <w:sz w:val="24"/>
          <w:szCs w:val="24"/>
        </w:rPr>
        <w:t>Dünyadaki ülkelerin büyük bölümünde, kanıtlanmış ekonomik üretilebilir kömür</w:t>
      </w:r>
    </w:p>
    <w:p w:rsidR="00B24B72" w:rsidRPr="00B24B72" w:rsidRDefault="00B24B72" w:rsidP="00B24B72">
      <w:pPr>
        <w:autoSpaceDE w:val="0"/>
        <w:autoSpaceDN w:val="0"/>
        <w:adjustRightInd w:val="0"/>
        <w:spacing w:after="0" w:line="276" w:lineRule="auto"/>
        <w:rPr>
          <w:rFonts w:ascii="Arial" w:hAnsi="Arial" w:cs="Arial"/>
          <w:b/>
          <w:bCs/>
          <w:color w:val="000000"/>
          <w:sz w:val="24"/>
          <w:szCs w:val="24"/>
        </w:rPr>
      </w:pPr>
      <w:proofErr w:type="gramStart"/>
      <w:r w:rsidRPr="00B24B72">
        <w:rPr>
          <w:rFonts w:ascii="Arial" w:hAnsi="Arial" w:cs="Arial"/>
          <w:b/>
          <w:bCs/>
          <w:color w:val="000000"/>
          <w:sz w:val="24"/>
          <w:szCs w:val="24"/>
        </w:rPr>
        <w:t>miktarlarına</w:t>
      </w:r>
      <w:proofErr w:type="gramEnd"/>
      <w:r w:rsidRPr="00B24B72">
        <w:rPr>
          <w:rFonts w:ascii="Arial" w:hAnsi="Arial" w:cs="Arial"/>
          <w:b/>
          <w:bCs/>
          <w:color w:val="000000"/>
          <w:sz w:val="24"/>
          <w:szCs w:val="24"/>
        </w:rPr>
        <w:t xml:space="preserve"> rezerv denirken, Türkiye’deki rezerv tanımlarına, dünyada kaynak</w:t>
      </w:r>
    </w:p>
    <w:p w:rsidR="00B24B72" w:rsidRPr="00B24B72" w:rsidRDefault="00B24B72" w:rsidP="00B24B72">
      <w:pPr>
        <w:autoSpaceDE w:val="0"/>
        <w:autoSpaceDN w:val="0"/>
        <w:adjustRightInd w:val="0"/>
        <w:spacing w:after="0" w:line="276" w:lineRule="auto"/>
        <w:rPr>
          <w:rFonts w:ascii="Arial" w:hAnsi="Arial" w:cs="Arial"/>
          <w:b/>
          <w:bCs/>
          <w:color w:val="000000"/>
          <w:sz w:val="24"/>
          <w:szCs w:val="24"/>
        </w:rPr>
      </w:pPr>
      <w:proofErr w:type="gramStart"/>
      <w:r w:rsidRPr="00B24B72">
        <w:rPr>
          <w:rFonts w:ascii="Arial" w:hAnsi="Arial" w:cs="Arial"/>
          <w:b/>
          <w:bCs/>
          <w:color w:val="000000"/>
          <w:sz w:val="24"/>
          <w:szCs w:val="24"/>
        </w:rPr>
        <w:t>denilmektedir</w:t>
      </w:r>
      <w:proofErr w:type="gramEnd"/>
      <w:r w:rsidRPr="00B24B72">
        <w:rPr>
          <w:rFonts w:ascii="Arial" w:hAnsi="Arial" w:cs="Arial"/>
          <w:b/>
          <w:bCs/>
          <w:color w:val="000000"/>
          <w:sz w:val="24"/>
          <w:szCs w:val="24"/>
        </w:rPr>
        <w:t>. Bu nedenle Türkiye’deki kömür rezervi kavramı Dünyaya uyum</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b/>
          <w:bCs/>
          <w:color w:val="000000"/>
          <w:sz w:val="24"/>
          <w:szCs w:val="24"/>
        </w:rPr>
        <w:t>sağlayacak</w:t>
      </w:r>
      <w:proofErr w:type="gramEnd"/>
      <w:r w:rsidRPr="00B24B72">
        <w:rPr>
          <w:rFonts w:ascii="Arial" w:hAnsi="Arial" w:cs="Arial"/>
          <w:b/>
          <w:bCs/>
          <w:color w:val="000000"/>
          <w:sz w:val="24"/>
          <w:szCs w:val="24"/>
        </w:rPr>
        <w:t xml:space="preserve"> şekilde değişmelidir. </w:t>
      </w:r>
      <w:r w:rsidRPr="00B24B72">
        <w:rPr>
          <w:rFonts w:ascii="Arial" w:hAnsi="Arial" w:cs="Arial"/>
          <w:color w:val="000000"/>
          <w:sz w:val="24"/>
          <w:szCs w:val="24"/>
        </w:rPr>
        <w:t>Yukarıdaki kavrama uygun Türkiye kömür</w:t>
      </w:r>
    </w:p>
    <w:p w:rsidR="00B24B72" w:rsidRPr="00B24B72" w:rsidRDefault="00B24B72" w:rsidP="00B24B72">
      <w:pPr>
        <w:autoSpaceDE w:val="0"/>
        <w:autoSpaceDN w:val="0"/>
        <w:adjustRightInd w:val="0"/>
        <w:spacing w:after="0" w:line="276" w:lineRule="auto"/>
        <w:rPr>
          <w:rFonts w:ascii="Arial" w:hAnsi="Arial" w:cs="Arial"/>
          <w:color w:val="000000"/>
          <w:sz w:val="24"/>
          <w:szCs w:val="24"/>
        </w:rPr>
      </w:pPr>
      <w:proofErr w:type="gramStart"/>
      <w:r w:rsidRPr="00B24B72">
        <w:rPr>
          <w:rFonts w:ascii="Arial" w:hAnsi="Arial" w:cs="Arial"/>
          <w:color w:val="000000"/>
          <w:sz w:val="24"/>
          <w:szCs w:val="24"/>
        </w:rPr>
        <w:t>rezervlerinin</w:t>
      </w:r>
      <w:proofErr w:type="gramEnd"/>
      <w:r w:rsidRPr="00B24B72">
        <w:rPr>
          <w:rFonts w:ascii="Arial" w:hAnsi="Arial" w:cs="Arial"/>
          <w:color w:val="000000"/>
          <w:sz w:val="24"/>
          <w:szCs w:val="24"/>
        </w:rPr>
        <w:t xml:space="preserve"> hesaplanmasına ilişkin yapılan çalışma, kömür rezervlerinin santral</w:t>
      </w:r>
    </w:p>
    <w:p w:rsidR="00B24B72" w:rsidRDefault="00B24B72" w:rsidP="00B24B72">
      <w:pPr>
        <w:spacing w:line="276" w:lineRule="auto"/>
        <w:jc w:val="both"/>
        <w:rPr>
          <w:rFonts w:ascii="Arial" w:hAnsi="Arial" w:cs="Arial"/>
          <w:color w:val="000000"/>
          <w:sz w:val="24"/>
          <w:szCs w:val="24"/>
        </w:rPr>
      </w:pPr>
      <w:proofErr w:type="gramStart"/>
      <w:r w:rsidRPr="00B24B72">
        <w:rPr>
          <w:rFonts w:ascii="Arial" w:hAnsi="Arial" w:cs="Arial"/>
          <w:color w:val="000000"/>
          <w:sz w:val="24"/>
          <w:szCs w:val="24"/>
        </w:rPr>
        <w:t>potansiyeli</w:t>
      </w:r>
      <w:proofErr w:type="gramEnd"/>
      <w:r w:rsidRPr="00B24B72">
        <w:rPr>
          <w:rFonts w:ascii="Arial" w:hAnsi="Arial" w:cs="Arial"/>
          <w:color w:val="000000"/>
          <w:sz w:val="24"/>
          <w:szCs w:val="24"/>
        </w:rPr>
        <w:t xml:space="preserve"> bölümünded</w:t>
      </w:r>
      <w:r>
        <w:rPr>
          <w:rFonts w:ascii="Arial" w:hAnsi="Arial" w:cs="Arial"/>
          <w:color w:val="000000"/>
          <w:sz w:val="24"/>
          <w:szCs w:val="24"/>
        </w:rPr>
        <w:t>ir.</w:t>
      </w:r>
    </w:p>
    <w:p w:rsidR="00425D11" w:rsidRPr="00425D11" w:rsidRDefault="00425D11" w:rsidP="00425D11">
      <w:pPr>
        <w:autoSpaceDE w:val="0"/>
        <w:autoSpaceDN w:val="0"/>
        <w:adjustRightInd w:val="0"/>
        <w:spacing w:after="0" w:line="276" w:lineRule="auto"/>
        <w:jc w:val="both"/>
        <w:rPr>
          <w:rFonts w:ascii="Arial" w:hAnsi="Arial" w:cs="Arial"/>
          <w:sz w:val="24"/>
          <w:szCs w:val="24"/>
        </w:rPr>
      </w:pPr>
      <w:r w:rsidRPr="00425D11">
        <w:rPr>
          <w:rFonts w:ascii="Arial" w:hAnsi="Arial" w:cs="Arial"/>
          <w:sz w:val="24"/>
          <w:szCs w:val="24"/>
        </w:rPr>
        <w:t>Linyit rezervlerimizin çoğunluğu 1976-1990 yılları arasında bulunmuştur. Bu dönemden sonra</w:t>
      </w:r>
    </w:p>
    <w:p w:rsidR="00425D11" w:rsidRPr="00425D11" w:rsidRDefault="00425D11" w:rsidP="00425D11">
      <w:pPr>
        <w:autoSpaceDE w:val="0"/>
        <w:autoSpaceDN w:val="0"/>
        <w:adjustRightInd w:val="0"/>
        <w:spacing w:after="0" w:line="276" w:lineRule="auto"/>
        <w:jc w:val="both"/>
        <w:rPr>
          <w:rFonts w:ascii="Arial" w:hAnsi="Arial" w:cs="Arial"/>
          <w:sz w:val="24"/>
          <w:szCs w:val="24"/>
        </w:rPr>
      </w:pPr>
      <w:proofErr w:type="gramStart"/>
      <w:r w:rsidRPr="00425D11">
        <w:rPr>
          <w:rFonts w:ascii="Arial" w:hAnsi="Arial" w:cs="Arial"/>
          <w:sz w:val="24"/>
          <w:szCs w:val="24"/>
        </w:rPr>
        <w:t>kapsamlı</w:t>
      </w:r>
      <w:proofErr w:type="gramEnd"/>
      <w:r w:rsidRPr="00425D11">
        <w:rPr>
          <w:rFonts w:ascii="Arial" w:hAnsi="Arial" w:cs="Arial"/>
          <w:sz w:val="24"/>
          <w:szCs w:val="24"/>
        </w:rPr>
        <w:t xml:space="preserve"> rezerv geliştirme etüt ve sondajları 2005-2008 yılları arasındaki linyit arama</w:t>
      </w:r>
    </w:p>
    <w:p w:rsidR="00425D11" w:rsidRPr="00425D11" w:rsidRDefault="00425D11" w:rsidP="00425D11">
      <w:pPr>
        <w:autoSpaceDE w:val="0"/>
        <w:autoSpaceDN w:val="0"/>
        <w:adjustRightInd w:val="0"/>
        <w:spacing w:after="0" w:line="276" w:lineRule="auto"/>
        <w:jc w:val="both"/>
        <w:rPr>
          <w:rFonts w:ascii="Arial" w:hAnsi="Arial" w:cs="Arial"/>
          <w:sz w:val="24"/>
          <w:szCs w:val="24"/>
        </w:rPr>
      </w:pPr>
      <w:proofErr w:type="gramStart"/>
      <w:r w:rsidRPr="00425D11">
        <w:rPr>
          <w:rFonts w:ascii="Arial" w:hAnsi="Arial" w:cs="Arial"/>
          <w:sz w:val="24"/>
          <w:szCs w:val="24"/>
        </w:rPr>
        <w:t>çalışmalarıdır</w:t>
      </w:r>
      <w:proofErr w:type="gramEnd"/>
      <w:r w:rsidRPr="00425D11">
        <w:rPr>
          <w:rFonts w:ascii="Arial" w:hAnsi="Arial" w:cs="Arial"/>
          <w:sz w:val="24"/>
          <w:szCs w:val="24"/>
        </w:rPr>
        <w:t>. Enerjide dışa bağımlılığımızın giderek artması yanında pahalı oluşu, yerli</w:t>
      </w:r>
      <w:r>
        <w:rPr>
          <w:rFonts w:ascii="Arial" w:hAnsi="Arial" w:cs="Arial"/>
          <w:sz w:val="24"/>
          <w:szCs w:val="24"/>
        </w:rPr>
        <w:t xml:space="preserve"> </w:t>
      </w:r>
      <w:r w:rsidRPr="00425D11">
        <w:rPr>
          <w:rFonts w:ascii="Arial" w:hAnsi="Arial" w:cs="Arial"/>
          <w:sz w:val="24"/>
          <w:szCs w:val="24"/>
        </w:rPr>
        <w:t>kaynaklara daha fazla yönelmemizi gerektirmiştir. Bu anlayışla “Linyit Rezervlerimizin</w:t>
      </w:r>
      <w:r>
        <w:rPr>
          <w:rFonts w:ascii="Arial" w:hAnsi="Arial" w:cs="Arial"/>
          <w:sz w:val="24"/>
          <w:szCs w:val="24"/>
        </w:rPr>
        <w:t xml:space="preserve"> </w:t>
      </w:r>
      <w:r w:rsidRPr="00425D11">
        <w:rPr>
          <w:rFonts w:ascii="Arial" w:hAnsi="Arial" w:cs="Arial"/>
          <w:sz w:val="24"/>
          <w:szCs w:val="24"/>
        </w:rPr>
        <w:t>Geliştirilmesi ve Yeni Sahalarda Linyit Aranması” Projesi TKİ koordinatörlüğünde, teknik olarak</w:t>
      </w:r>
      <w:r>
        <w:rPr>
          <w:rFonts w:ascii="Arial" w:hAnsi="Arial" w:cs="Arial"/>
          <w:sz w:val="24"/>
          <w:szCs w:val="24"/>
        </w:rPr>
        <w:t xml:space="preserve"> </w:t>
      </w:r>
      <w:r w:rsidRPr="00425D11">
        <w:rPr>
          <w:rFonts w:ascii="Arial" w:hAnsi="Arial" w:cs="Arial"/>
          <w:sz w:val="24"/>
          <w:szCs w:val="24"/>
        </w:rPr>
        <w:t>MTA’nın sorumluluğunda, ETİ Maden, TPAO, EÜAŞ, TTK ve DSİ’nin katılımı ile 2005 yılında</w:t>
      </w:r>
      <w:r>
        <w:rPr>
          <w:rFonts w:ascii="Arial" w:hAnsi="Arial" w:cs="Arial"/>
          <w:sz w:val="24"/>
          <w:szCs w:val="24"/>
        </w:rPr>
        <w:t xml:space="preserve"> </w:t>
      </w:r>
      <w:r w:rsidRPr="00425D11">
        <w:rPr>
          <w:rFonts w:ascii="Arial" w:hAnsi="Arial" w:cs="Arial"/>
          <w:sz w:val="24"/>
          <w:szCs w:val="24"/>
        </w:rPr>
        <w:t>başlatılmıştır. Son yıllarda ağırlıklı olarak MTA’nın sorumluluğunda olan aramalar devam</w:t>
      </w:r>
      <w:r>
        <w:rPr>
          <w:rFonts w:ascii="Arial" w:hAnsi="Arial" w:cs="Arial"/>
          <w:sz w:val="24"/>
          <w:szCs w:val="24"/>
        </w:rPr>
        <w:t xml:space="preserve"> </w:t>
      </w:r>
      <w:r w:rsidRPr="00425D11">
        <w:rPr>
          <w:rFonts w:ascii="Arial" w:hAnsi="Arial" w:cs="Arial"/>
          <w:sz w:val="24"/>
          <w:szCs w:val="24"/>
        </w:rPr>
        <w:t>etmekte olup her yıl kömür rezervleri geliştirilmektedir. Bu çalışmalar ile Afşin-Elbistan Linyit</w:t>
      </w:r>
      <w:r>
        <w:rPr>
          <w:rFonts w:ascii="Arial" w:hAnsi="Arial" w:cs="Arial"/>
          <w:sz w:val="24"/>
          <w:szCs w:val="24"/>
        </w:rPr>
        <w:t xml:space="preserve"> </w:t>
      </w:r>
      <w:r w:rsidRPr="00425D11">
        <w:rPr>
          <w:rFonts w:ascii="Arial" w:hAnsi="Arial" w:cs="Arial"/>
          <w:sz w:val="24"/>
          <w:szCs w:val="24"/>
        </w:rPr>
        <w:t>Havzası dışında Trakya havzasında, Manisa-Soma havzasında, Konya-Karapınar havzasında,</w:t>
      </w:r>
      <w:r>
        <w:rPr>
          <w:rFonts w:ascii="Arial" w:hAnsi="Arial" w:cs="Arial"/>
          <w:sz w:val="24"/>
          <w:szCs w:val="24"/>
        </w:rPr>
        <w:t xml:space="preserve"> </w:t>
      </w:r>
      <w:r w:rsidRPr="00425D11">
        <w:rPr>
          <w:rFonts w:ascii="Arial" w:hAnsi="Arial" w:cs="Arial"/>
          <w:sz w:val="24"/>
          <w:szCs w:val="24"/>
        </w:rPr>
        <w:t>Afyon-Dinar, Eskişehir Alpu, Kırklareli-Vize de yeni kömür rezervleri bulunmuş, bilinen</w:t>
      </w:r>
    </w:p>
    <w:p w:rsidR="00425D11" w:rsidRPr="00425D11" w:rsidRDefault="00425D11" w:rsidP="00425D11">
      <w:pPr>
        <w:autoSpaceDE w:val="0"/>
        <w:autoSpaceDN w:val="0"/>
        <w:adjustRightInd w:val="0"/>
        <w:spacing w:after="0" w:line="276" w:lineRule="auto"/>
        <w:jc w:val="both"/>
        <w:rPr>
          <w:rFonts w:ascii="Arial" w:hAnsi="Arial" w:cs="Arial"/>
          <w:sz w:val="24"/>
          <w:szCs w:val="24"/>
        </w:rPr>
      </w:pPr>
      <w:proofErr w:type="gramStart"/>
      <w:r w:rsidRPr="00425D11">
        <w:rPr>
          <w:rFonts w:ascii="Arial" w:hAnsi="Arial" w:cs="Arial"/>
          <w:sz w:val="24"/>
          <w:szCs w:val="24"/>
        </w:rPr>
        <w:t>sahalarda</w:t>
      </w:r>
      <w:proofErr w:type="gramEnd"/>
      <w:r w:rsidRPr="00425D11">
        <w:rPr>
          <w:rFonts w:ascii="Arial" w:hAnsi="Arial" w:cs="Arial"/>
          <w:sz w:val="24"/>
          <w:szCs w:val="24"/>
        </w:rPr>
        <w:t xml:space="preserve"> ise rezerv artışları sağlanmıştır. Yapılan çalışmalarda, en büyük rezerv artışı Elbistan</w:t>
      </w:r>
      <w:r>
        <w:rPr>
          <w:rFonts w:ascii="Arial" w:hAnsi="Arial" w:cs="Arial"/>
          <w:sz w:val="24"/>
          <w:szCs w:val="24"/>
        </w:rPr>
        <w:t xml:space="preserve"> </w:t>
      </w:r>
      <w:r w:rsidRPr="00425D11">
        <w:rPr>
          <w:rFonts w:ascii="Arial" w:hAnsi="Arial" w:cs="Arial"/>
          <w:sz w:val="24"/>
          <w:szCs w:val="24"/>
        </w:rPr>
        <w:t>havzasında olmuştur. Yapılan etüt ve sondajlardan önce 3,3 milyar ton olan rezerv yaklaşık 1</w:t>
      </w:r>
      <w:r>
        <w:rPr>
          <w:rFonts w:ascii="Arial" w:hAnsi="Arial" w:cs="Arial"/>
          <w:sz w:val="24"/>
          <w:szCs w:val="24"/>
        </w:rPr>
        <w:t xml:space="preserve"> </w:t>
      </w:r>
      <w:r w:rsidRPr="00425D11">
        <w:rPr>
          <w:rFonts w:ascii="Arial" w:hAnsi="Arial" w:cs="Arial"/>
          <w:sz w:val="24"/>
          <w:szCs w:val="24"/>
        </w:rPr>
        <w:t>milyar ton artarak 4,4 milyar tona çıkmıştır. Ancak etüt ve sondaj yapılmayan Elbistan</w:t>
      </w:r>
      <w:r>
        <w:rPr>
          <w:rFonts w:ascii="Arial" w:hAnsi="Arial" w:cs="Arial"/>
          <w:sz w:val="24"/>
          <w:szCs w:val="24"/>
        </w:rPr>
        <w:t xml:space="preserve"> </w:t>
      </w:r>
      <w:r w:rsidRPr="00425D11">
        <w:rPr>
          <w:rFonts w:ascii="Arial" w:hAnsi="Arial" w:cs="Arial"/>
          <w:sz w:val="24"/>
          <w:szCs w:val="24"/>
        </w:rPr>
        <w:t xml:space="preserve">havzasının ortasındaki </w:t>
      </w:r>
      <w:proofErr w:type="spellStart"/>
      <w:r w:rsidRPr="00425D11">
        <w:rPr>
          <w:rFonts w:ascii="Arial" w:hAnsi="Arial" w:cs="Arial"/>
          <w:sz w:val="24"/>
          <w:szCs w:val="24"/>
        </w:rPr>
        <w:t>Çöllolar</w:t>
      </w:r>
      <w:proofErr w:type="spellEnd"/>
      <w:r w:rsidRPr="00425D11">
        <w:rPr>
          <w:rFonts w:ascii="Arial" w:hAnsi="Arial" w:cs="Arial"/>
          <w:sz w:val="24"/>
          <w:szCs w:val="24"/>
        </w:rPr>
        <w:t xml:space="preserve"> ile havza kuzeyinde 2005 yılından sonra yapılan etütlerle tespit</w:t>
      </w:r>
      <w:r>
        <w:rPr>
          <w:rFonts w:ascii="Arial" w:hAnsi="Arial" w:cs="Arial"/>
          <w:sz w:val="24"/>
          <w:szCs w:val="24"/>
        </w:rPr>
        <w:t xml:space="preserve"> </w:t>
      </w:r>
      <w:r w:rsidRPr="00425D11">
        <w:rPr>
          <w:rFonts w:ascii="Arial" w:hAnsi="Arial" w:cs="Arial"/>
          <w:sz w:val="24"/>
          <w:szCs w:val="24"/>
        </w:rPr>
        <w:t>edilen kömür yoğunluğuna göre yeniden değerlendirme yapılmamıştır. TKİ’nin havzanın</w:t>
      </w:r>
      <w:r>
        <w:rPr>
          <w:rFonts w:ascii="Arial" w:hAnsi="Arial" w:cs="Arial"/>
          <w:sz w:val="24"/>
          <w:szCs w:val="24"/>
        </w:rPr>
        <w:t xml:space="preserve"> </w:t>
      </w:r>
      <w:r w:rsidRPr="00425D11">
        <w:rPr>
          <w:rFonts w:ascii="Arial" w:hAnsi="Arial" w:cs="Arial"/>
          <w:sz w:val="24"/>
          <w:szCs w:val="24"/>
        </w:rPr>
        <w:t>tamamında 2000 yılında yaptığı değerlendirmelerin bu kesimlerdeki değerleri dikkate</w:t>
      </w:r>
      <w:r>
        <w:rPr>
          <w:rFonts w:ascii="Arial" w:hAnsi="Arial" w:cs="Arial"/>
          <w:sz w:val="24"/>
          <w:szCs w:val="24"/>
        </w:rPr>
        <w:t xml:space="preserve"> </w:t>
      </w:r>
      <w:r w:rsidRPr="00425D11">
        <w:rPr>
          <w:rFonts w:ascii="Arial" w:hAnsi="Arial" w:cs="Arial"/>
          <w:sz w:val="24"/>
          <w:szCs w:val="24"/>
        </w:rPr>
        <w:t>alındığında Havzanın görünür rezervinin 5 milyar tondan fazla olduğu anlaşılmakta olup bu</w:t>
      </w:r>
      <w:r>
        <w:rPr>
          <w:rFonts w:ascii="Arial" w:hAnsi="Arial" w:cs="Arial"/>
          <w:sz w:val="24"/>
          <w:szCs w:val="24"/>
        </w:rPr>
        <w:t xml:space="preserve"> </w:t>
      </w:r>
      <w:r w:rsidRPr="00425D11">
        <w:rPr>
          <w:rFonts w:ascii="Arial" w:hAnsi="Arial" w:cs="Arial"/>
          <w:sz w:val="24"/>
          <w:szCs w:val="24"/>
        </w:rPr>
        <w:t xml:space="preserve">değer rezerv tablosuna yansıtılmamıştır. </w:t>
      </w:r>
      <w:proofErr w:type="gramStart"/>
      <w:r w:rsidRPr="00425D11">
        <w:rPr>
          <w:rFonts w:ascii="Arial" w:hAnsi="Arial" w:cs="Arial"/>
          <w:sz w:val="24"/>
          <w:szCs w:val="24"/>
        </w:rPr>
        <w:t>Bunun dışında MTA’nın yaptığı etüt ve sondajlarla</w:t>
      </w:r>
      <w:r>
        <w:rPr>
          <w:rFonts w:ascii="Arial" w:hAnsi="Arial" w:cs="Arial"/>
          <w:sz w:val="24"/>
          <w:szCs w:val="24"/>
        </w:rPr>
        <w:t xml:space="preserve"> </w:t>
      </w:r>
      <w:r w:rsidRPr="00425D11">
        <w:rPr>
          <w:rFonts w:ascii="Arial" w:hAnsi="Arial" w:cs="Arial"/>
          <w:sz w:val="24"/>
          <w:szCs w:val="24"/>
        </w:rPr>
        <w:t>Afşin – Elbistan’da büyük havzanın yakınında 515.000 bin ton, Konya Karapınar’da 1.832.816</w:t>
      </w:r>
      <w:r>
        <w:rPr>
          <w:rFonts w:ascii="Arial" w:hAnsi="Arial" w:cs="Arial"/>
          <w:sz w:val="24"/>
          <w:szCs w:val="24"/>
        </w:rPr>
        <w:t xml:space="preserve"> </w:t>
      </w:r>
      <w:r w:rsidRPr="00425D11">
        <w:rPr>
          <w:rFonts w:ascii="Arial" w:hAnsi="Arial" w:cs="Arial"/>
          <w:sz w:val="24"/>
          <w:szCs w:val="24"/>
        </w:rPr>
        <w:t>bin ton ile Trakya ve Soma havzalarında ki artışlara ilave olarak rezerv çalışmaları devam eden</w:t>
      </w:r>
      <w:r>
        <w:rPr>
          <w:rFonts w:ascii="Arial" w:hAnsi="Arial" w:cs="Arial"/>
          <w:sz w:val="24"/>
          <w:szCs w:val="24"/>
        </w:rPr>
        <w:t xml:space="preserve"> </w:t>
      </w:r>
      <w:r w:rsidRPr="00425D11">
        <w:rPr>
          <w:rFonts w:ascii="Arial" w:hAnsi="Arial" w:cs="Arial"/>
          <w:sz w:val="24"/>
          <w:szCs w:val="24"/>
        </w:rPr>
        <w:t>havzalardan, Afyon Dinar’da 912.429 bin ton, Eskişehir Alpu’da 902.000 bin ton, Kırklareli-</w:t>
      </w:r>
      <w:r>
        <w:rPr>
          <w:rFonts w:ascii="Arial" w:hAnsi="Arial" w:cs="Arial"/>
          <w:sz w:val="24"/>
          <w:szCs w:val="24"/>
        </w:rPr>
        <w:t xml:space="preserve"> </w:t>
      </w:r>
      <w:r w:rsidRPr="00425D11">
        <w:rPr>
          <w:rFonts w:ascii="Arial" w:hAnsi="Arial" w:cs="Arial"/>
          <w:sz w:val="24"/>
          <w:szCs w:val="24"/>
        </w:rPr>
        <w:t>Vize’de 135.929 bin ton olmak üzere 2013 itibariyle, Türkiye toplam linyit rezervi 14 milyar tona</w:t>
      </w:r>
      <w:proofErr w:type="gramEnd"/>
    </w:p>
    <w:p w:rsidR="00B24B72" w:rsidRDefault="00425D11" w:rsidP="00425D11">
      <w:pPr>
        <w:spacing w:line="276" w:lineRule="auto"/>
        <w:jc w:val="both"/>
        <w:rPr>
          <w:rFonts w:ascii="Arial" w:hAnsi="Arial" w:cs="Arial"/>
          <w:sz w:val="24"/>
          <w:szCs w:val="24"/>
        </w:rPr>
      </w:pPr>
      <w:proofErr w:type="gramStart"/>
      <w:r w:rsidRPr="00425D11">
        <w:rPr>
          <w:rFonts w:ascii="Arial" w:hAnsi="Arial" w:cs="Arial"/>
          <w:sz w:val="24"/>
          <w:szCs w:val="24"/>
        </w:rPr>
        <w:t>ulaşmıştır</w:t>
      </w:r>
      <w:proofErr w:type="gramEnd"/>
      <w:r w:rsidR="0080405F">
        <w:rPr>
          <w:rFonts w:ascii="Arial" w:hAnsi="Arial" w:cs="Arial"/>
          <w:sz w:val="24"/>
          <w:szCs w:val="24"/>
        </w:rPr>
        <w:t>.</w:t>
      </w:r>
    </w:p>
    <w:p w:rsidR="0080405F" w:rsidRPr="0080405F" w:rsidRDefault="0080405F" w:rsidP="0080405F">
      <w:pPr>
        <w:autoSpaceDE w:val="0"/>
        <w:autoSpaceDN w:val="0"/>
        <w:adjustRightInd w:val="0"/>
        <w:spacing w:after="0" w:line="276" w:lineRule="auto"/>
        <w:jc w:val="both"/>
        <w:rPr>
          <w:rFonts w:ascii="Arial" w:hAnsi="Arial" w:cs="Arial"/>
          <w:sz w:val="24"/>
          <w:szCs w:val="24"/>
        </w:rPr>
      </w:pPr>
      <w:r w:rsidRPr="0080405F">
        <w:rPr>
          <w:rFonts w:ascii="Arial" w:hAnsi="Arial" w:cs="Arial"/>
          <w:sz w:val="24"/>
          <w:szCs w:val="24"/>
        </w:rPr>
        <w:t>Türkiye linyit rezervleri toplamının yüzde on ikisine sahip olan özel sektörün uhdesinde</w:t>
      </w:r>
    </w:p>
    <w:p w:rsidR="0080405F" w:rsidRPr="00605490" w:rsidRDefault="0080405F" w:rsidP="00A85730">
      <w:pPr>
        <w:autoSpaceDE w:val="0"/>
        <w:autoSpaceDN w:val="0"/>
        <w:adjustRightInd w:val="0"/>
        <w:spacing w:after="0" w:line="276" w:lineRule="auto"/>
        <w:rPr>
          <w:rFonts w:ascii="Arial" w:hAnsi="Arial" w:cs="Arial"/>
          <w:b/>
          <w:sz w:val="24"/>
          <w:szCs w:val="24"/>
        </w:rPr>
      </w:pPr>
      <w:r w:rsidRPr="0080405F">
        <w:rPr>
          <w:rFonts w:ascii="Arial" w:hAnsi="Arial" w:cs="Arial"/>
          <w:sz w:val="24"/>
          <w:szCs w:val="24"/>
        </w:rPr>
        <w:t>350 adetten fazla linyit rezervleri ruhsatı bulunmaktadır. Özel sektör kömür sahalarındaki</w:t>
      </w:r>
      <w:r>
        <w:rPr>
          <w:rFonts w:ascii="Arial" w:hAnsi="Arial" w:cs="Arial"/>
          <w:sz w:val="24"/>
          <w:szCs w:val="24"/>
        </w:rPr>
        <w:t xml:space="preserve"> </w:t>
      </w:r>
      <w:r w:rsidRPr="0080405F">
        <w:rPr>
          <w:rFonts w:ascii="Arial" w:hAnsi="Arial" w:cs="Arial"/>
          <w:sz w:val="24"/>
          <w:szCs w:val="24"/>
        </w:rPr>
        <w:t>rezervler, kamu tarafından ayrıntılı etütleri yapılan büyük sahaların dışındakiler hariç,</w:t>
      </w:r>
      <w:r>
        <w:rPr>
          <w:rFonts w:ascii="Arial" w:hAnsi="Arial" w:cs="Arial"/>
          <w:sz w:val="24"/>
          <w:szCs w:val="24"/>
        </w:rPr>
        <w:t xml:space="preserve"> </w:t>
      </w:r>
      <w:r w:rsidRPr="0080405F">
        <w:rPr>
          <w:rFonts w:ascii="Arial" w:hAnsi="Arial" w:cs="Arial"/>
          <w:sz w:val="24"/>
          <w:szCs w:val="24"/>
        </w:rPr>
        <w:t>genellikle beyana göre olup, bunların MİGEM tarafından kontrolü sınırlı olmaktadır. Saha</w:t>
      </w:r>
      <w:r>
        <w:rPr>
          <w:rFonts w:ascii="Arial" w:hAnsi="Arial" w:cs="Arial"/>
          <w:sz w:val="24"/>
          <w:szCs w:val="24"/>
        </w:rPr>
        <w:t xml:space="preserve"> </w:t>
      </w:r>
      <w:r w:rsidRPr="0080405F">
        <w:rPr>
          <w:rFonts w:ascii="Arial" w:hAnsi="Arial" w:cs="Arial"/>
          <w:sz w:val="24"/>
          <w:szCs w:val="24"/>
        </w:rPr>
        <w:t xml:space="preserve">ve il bazında toplamı 20 milyon tonunun üzerinde linyit rezervinin bulunduğu il sayısı </w:t>
      </w:r>
      <w:proofErr w:type="spellStart"/>
      <w:r w:rsidRPr="0080405F">
        <w:rPr>
          <w:rFonts w:ascii="Arial" w:hAnsi="Arial" w:cs="Arial"/>
          <w:sz w:val="24"/>
          <w:szCs w:val="24"/>
        </w:rPr>
        <w:t>on</w:t>
      </w:r>
      <w:r>
        <w:rPr>
          <w:rFonts w:ascii="Arial" w:hAnsi="Arial" w:cs="Arial"/>
          <w:sz w:val="24"/>
          <w:szCs w:val="24"/>
        </w:rPr>
        <w:t>üç</w:t>
      </w:r>
      <w:proofErr w:type="spellEnd"/>
      <w:r>
        <w:rPr>
          <w:rFonts w:ascii="Arial" w:hAnsi="Arial" w:cs="Arial"/>
          <w:sz w:val="24"/>
          <w:szCs w:val="24"/>
        </w:rPr>
        <w:t xml:space="preserve"> </w:t>
      </w:r>
      <w:r w:rsidRPr="0080405F">
        <w:rPr>
          <w:rFonts w:ascii="Arial" w:hAnsi="Arial" w:cs="Arial"/>
          <w:sz w:val="24"/>
          <w:szCs w:val="24"/>
        </w:rPr>
        <w:t>tür. Saha bazında ise toplam rezervi 10 milyon tonun üzerindekiler sınırlı olup</w:t>
      </w:r>
      <w:r>
        <w:rPr>
          <w:rFonts w:ascii="Arial" w:hAnsi="Arial" w:cs="Arial"/>
          <w:sz w:val="24"/>
          <w:szCs w:val="24"/>
        </w:rPr>
        <w:t xml:space="preserve"> </w:t>
      </w:r>
      <w:r w:rsidRPr="0080405F">
        <w:rPr>
          <w:rFonts w:ascii="Arial" w:hAnsi="Arial" w:cs="Arial"/>
          <w:sz w:val="24"/>
          <w:szCs w:val="24"/>
        </w:rPr>
        <w:t xml:space="preserve">diğerleri daha küçük rezervli sahalardan oluşmaktadır. </w:t>
      </w:r>
      <w:r w:rsidRPr="0080405F">
        <w:rPr>
          <w:rFonts w:ascii="Arial" w:hAnsi="Arial" w:cs="Arial"/>
          <w:sz w:val="24"/>
          <w:szCs w:val="24"/>
        </w:rPr>
        <w:lastRenderedPageBreak/>
        <w:t>2013 yılı Adana Tufanbeyli</w:t>
      </w:r>
      <w:r>
        <w:rPr>
          <w:rFonts w:ascii="Arial" w:hAnsi="Arial" w:cs="Arial"/>
          <w:sz w:val="24"/>
          <w:szCs w:val="24"/>
        </w:rPr>
        <w:t xml:space="preserve"> </w:t>
      </w:r>
      <w:r w:rsidRPr="0080405F">
        <w:rPr>
          <w:rFonts w:ascii="Arial" w:hAnsi="Arial" w:cs="Arial"/>
          <w:sz w:val="24"/>
          <w:szCs w:val="24"/>
        </w:rPr>
        <w:t xml:space="preserve">sahasının linyit rezervi 247 milyon ton olup 2011 </w:t>
      </w:r>
      <w:bookmarkStart w:id="0" w:name="_GoBack"/>
      <w:bookmarkEnd w:id="0"/>
      <w:r w:rsidRPr="00605490">
        <w:rPr>
          <w:rFonts w:ascii="Arial" w:hAnsi="Arial" w:cs="Arial"/>
          <w:sz w:val="24"/>
          <w:szCs w:val="24"/>
        </w:rPr>
        <w:t>değerlerine göre 145 milyon ton</w:t>
      </w:r>
      <w:r w:rsidRPr="00605490">
        <w:rPr>
          <w:rFonts w:ascii="Arial" w:hAnsi="Arial" w:cs="Arial"/>
          <w:sz w:val="24"/>
          <w:szCs w:val="24"/>
        </w:rPr>
        <w:t xml:space="preserve"> </w:t>
      </w:r>
      <w:r w:rsidRPr="00605490">
        <w:rPr>
          <w:rFonts w:ascii="Arial" w:hAnsi="Arial" w:cs="Arial"/>
          <w:sz w:val="24"/>
          <w:szCs w:val="24"/>
        </w:rPr>
        <w:t>civarında artmıştır</w:t>
      </w:r>
      <w:r w:rsidR="00A7503C" w:rsidRPr="00605490">
        <w:rPr>
          <w:rFonts w:ascii="Arial" w:hAnsi="Arial" w:cs="Arial"/>
          <w:b/>
          <w:sz w:val="24"/>
          <w:szCs w:val="24"/>
        </w:rPr>
        <w:t>.</w:t>
      </w:r>
    </w:p>
    <w:p w:rsidR="00605490" w:rsidRPr="00605490" w:rsidRDefault="00605490" w:rsidP="00A85730">
      <w:pPr>
        <w:autoSpaceDE w:val="0"/>
        <w:autoSpaceDN w:val="0"/>
        <w:adjustRightInd w:val="0"/>
        <w:spacing w:after="0" w:line="240" w:lineRule="auto"/>
        <w:rPr>
          <w:rFonts w:ascii="Arial,Italic" w:hAnsi="Arial,Italic" w:cs="Arial,Italic"/>
          <w:b/>
          <w:iCs/>
          <w:sz w:val="20"/>
          <w:szCs w:val="20"/>
        </w:rPr>
      </w:pPr>
    </w:p>
    <w:p w:rsidR="00605490" w:rsidRPr="00605490" w:rsidRDefault="00605490" w:rsidP="00A85730">
      <w:pPr>
        <w:autoSpaceDE w:val="0"/>
        <w:autoSpaceDN w:val="0"/>
        <w:adjustRightInd w:val="0"/>
        <w:spacing w:after="0" w:line="276" w:lineRule="auto"/>
        <w:rPr>
          <w:rFonts w:ascii="Arial" w:hAnsi="Arial" w:cs="Arial"/>
          <w:b/>
          <w:iCs/>
          <w:sz w:val="24"/>
          <w:szCs w:val="24"/>
        </w:rPr>
      </w:pPr>
      <w:r w:rsidRPr="00605490">
        <w:rPr>
          <w:rFonts w:ascii="Arial" w:hAnsi="Arial" w:cs="Arial"/>
          <w:b/>
          <w:iCs/>
          <w:sz w:val="24"/>
          <w:szCs w:val="24"/>
        </w:rPr>
        <w:t>Linyit Rezervlerinin Kalori Bazında Dağılımı</w:t>
      </w:r>
    </w:p>
    <w:p w:rsidR="00605490" w:rsidRPr="00605490" w:rsidRDefault="00605490" w:rsidP="00A85730">
      <w:pPr>
        <w:autoSpaceDE w:val="0"/>
        <w:autoSpaceDN w:val="0"/>
        <w:adjustRightInd w:val="0"/>
        <w:spacing w:after="0" w:line="276" w:lineRule="auto"/>
        <w:rPr>
          <w:rFonts w:ascii="Arial" w:hAnsi="Arial" w:cs="Arial"/>
          <w:i/>
          <w:iCs/>
          <w:sz w:val="24"/>
          <w:szCs w:val="24"/>
        </w:rPr>
      </w:pPr>
    </w:p>
    <w:p w:rsidR="00605490" w:rsidRPr="00605490" w:rsidRDefault="00605490" w:rsidP="00A85730">
      <w:pPr>
        <w:autoSpaceDE w:val="0"/>
        <w:autoSpaceDN w:val="0"/>
        <w:adjustRightInd w:val="0"/>
        <w:spacing w:after="0" w:line="276" w:lineRule="auto"/>
        <w:rPr>
          <w:rFonts w:ascii="Arial" w:hAnsi="Arial" w:cs="Arial"/>
          <w:sz w:val="24"/>
          <w:szCs w:val="24"/>
        </w:rPr>
      </w:pPr>
      <w:r w:rsidRPr="00605490">
        <w:rPr>
          <w:rFonts w:ascii="Arial" w:hAnsi="Arial" w:cs="Arial"/>
          <w:sz w:val="24"/>
          <w:szCs w:val="24"/>
        </w:rPr>
        <w:t>Türkiye’deki linyitler standartta belirtilen üst ısıl değerin oldukça altındadır.</w:t>
      </w:r>
    </w:p>
    <w:p w:rsidR="00A85730" w:rsidRDefault="00605490" w:rsidP="00A85730">
      <w:pPr>
        <w:autoSpaceDE w:val="0"/>
        <w:autoSpaceDN w:val="0"/>
        <w:adjustRightInd w:val="0"/>
        <w:spacing w:after="0" w:line="276" w:lineRule="auto"/>
        <w:rPr>
          <w:rFonts w:ascii="Arial" w:hAnsi="Arial" w:cs="Arial"/>
          <w:b/>
          <w:bCs/>
          <w:sz w:val="24"/>
          <w:szCs w:val="24"/>
        </w:rPr>
      </w:pPr>
      <w:r>
        <w:rPr>
          <w:rFonts w:ascii="Arial" w:hAnsi="Arial" w:cs="Arial"/>
          <w:b/>
          <w:bCs/>
          <w:sz w:val="24"/>
          <w:szCs w:val="24"/>
        </w:rPr>
        <w:t xml:space="preserve">&lt;1000 </w:t>
      </w:r>
      <w:r w:rsidRPr="00605490">
        <w:rPr>
          <w:rFonts w:ascii="Arial" w:hAnsi="Arial" w:cs="Arial"/>
          <w:b/>
          <w:bCs/>
          <w:sz w:val="24"/>
          <w:szCs w:val="24"/>
        </w:rPr>
        <w:t>3%</w:t>
      </w:r>
      <w:r>
        <w:rPr>
          <w:rFonts w:ascii="Arial" w:hAnsi="Arial" w:cs="Arial"/>
          <w:b/>
          <w:bCs/>
          <w:sz w:val="24"/>
          <w:szCs w:val="24"/>
        </w:rPr>
        <w:t xml:space="preserve">, </w:t>
      </w:r>
      <w:r w:rsidRPr="00605490">
        <w:rPr>
          <w:rFonts w:ascii="Arial" w:hAnsi="Arial" w:cs="Arial"/>
          <w:b/>
          <w:bCs/>
          <w:sz w:val="24"/>
          <w:szCs w:val="24"/>
        </w:rPr>
        <w:t>1001-2000</w:t>
      </w:r>
      <w:r>
        <w:rPr>
          <w:rFonts w:ascii="Arial" w:hAnsi="Arial" w:cs="Arial"/>
          <w:b/>
          <w:bCs/>
          <w:sz w:val="24"/>
          <w:szCs w:val="24"/>
        </w:rPr>
        <w:t xml:space="preserve"> </w:t>
      </w:r>
      <w:r w:rsidRPr="00605490">
        <w:rPr>
          <w:rFonts w:ascii="Arial" w:hAnsi="Arial" w:cs="Arial"/>
          <w:b/>
          <w:bCs/>
          <w:sz w:val="24"/>
          <w:szCs w:val="24"/>
        </w:rPr>
        <w:t>70%</w:t>
      </w:r>
      <w:r>
        <w:rPr>
          <w:rFonts w:ascii="Arial" w:hAnsi="Arial" w:cs="Arial"/>
          <w:b/>
          <w:bCs/>
          <w:sz w:val="24"/>
          <w:szCs w:val="24"/>
        </w:rPr>
        <w:t xml:space="preserve">, </w:t>
      </w:r>
      <w:r w:rsidRPr="00605490">
        <w:rPr>
          <w:rFonts w:ascii="Arial" w:hAnsi="Arial" w:cs="Arial"/>
          <w:b/>
          <w:bCs/>
          <w:sz w:val="24"/>
          <w:szCs w:val="24"/>
        </w:rPr>
        <w:t>2001-3000</w:t>
      </w:r>
      <w:r>
        <w:rPr>
          <w:rFonts w:ascii="Arial" w:hAnsi="Arial" w:cs="Arial"/>
          <w:b/>
          <w:bCs/>
          <w:sz w:val="24"/>
          <w:szCs w:val="24"/>
        </w:rPr>
        <w:t xml:space="preserve"> </w:t>
      </w:r>
      <w:r w:rsidRPr="00605490">
        <w:rPr>
          <w:rFonts w:ascii="Arial" w:hAnsi="Arial" w:cs="Arial"/>
          <w:b/>
          <w:bCs/>
          <w:sz w:val="24"/>
          <w:szCs w:val="24"/>
        </w:rPr>
        <w:t>22%</w:t>
      </w:r>
      <w:r>
        <w:rPr>
          <w:rFonts w:ascii="Arial" w:hAnsi="Arial" w:cs="Arial"/>
          <w:b/>
          <w:bCs/>
          <w:sz w:val="24"/>
          <w:szCs w:val="24"/>
        </w:rPr>
        <w:t xml:space="preserve">, </w:t>
      </w:r>
      <w:r w:rsidRPr="00605490">
        <w:rPr>
          <w:rFonts w:ascii="Arial" w:hAnsi="Arial" w:cs="Arial"/>
          <w:b/>
          <w:bCs/>
          <w:sz w:val="24"/>
          <w:szCs w:val="24"/>
        </w:rPr>
        <w:t>3001-4000</w:t>
      </w:r>
      <w:r>
        <w:rPr>
          <w:rFonts w:ascii="Arial" w:hAnsi="Arial" w:cs="Arial"/>
          <w:b/>
          <w:bCs/>
          <w:sz w:val="24"/>
          <w:szCs w:val="24"/>
        </w:rPr>
        <w:t xml:space="preserve"> </w:t>
      </w:r>
      <w:r w:rsidRPr="00605490">
        <w:rPr>
          <w:rFonts w:ascii="Arial" w:hAnsi="Arial" w:cs="Arial"/>
          <w:b/>
          <w:bCs/>
          <w:sz w:val="24"/>
          <w:szCs w:val="24"/>
        </w:rPr>
        <w:t>4%</w:t>
      </w:r>
      <w:r>
        <w:rPr>
          <w:rFonts w:ascii="Arial" w:hAnsi="Arial" w:cs="Arial"/>
          <w:b/>
          <w:bCs/>
          <w:sz w:val="24"/>
          <w:szCs w:val="24"/>
        </w:rPr>
        <w:t xml:space="preserve">, &gt;4000 </w:t>
      </w:r>
      <w:r w:rsidRPr="00605490">
        <w:rPr>
          <w:rFonts w:ascii="Arial" w:hAnsi="Arial" w:cs="Arial"/>
          <w:b/>
          <w:bCs/>
          <w:sz w:val="24"/>
          <w:szCs w:val="24"/>
        </w:rPr>
        <w:t>1%</w:t>
      </w:r>
      <w:r>
        <w:rPr>
          <w:rFonts w:ascii="Arial" w:hAnsi="Arial" w:cs="Arial"/>
          <w:b/>
          <w:bCs/>
          <w:sz w:val="24"/>
          <w:szCs w:val="24"/>
        </w:rPr>
        <w:t xml:space="preserve"> </w:t>
      </w:r>
    </w:p>
    <w:p w:rsidR="00A85730" w:rsidRDefault="00A85730" w:rsidP="00A85730">
      <w:pPr>
        <w:autoSpaceDE w:val="0"/>
        <w:autoSpaceDN w:val="0"/>
        <w:adjustRightInd w:val="0"/>
        <w:spacing w:after="0" w:line="276" w:lineRule="auto"/>
        <w:rPr>
          <w:rFonts w:ascii="Arial" w:hAnsi="Arial" w:cs="Arial"/>
          <w:sz w:val="24"/>
          <w:szCs w:val="24"/>
        </w:rPr>
      </w:pPr>
    </w:p>
    <w:p w:rsidR="00605490" w:rsidRPr="00A85730" w:rsidRDefault="00605490" w:rsidP="00A85730">
      <w:pPr>
        <w:autoSpaceDE w:val="0"/>
        <w:autoSpaceDN w:val="0"/>
        <w:adjustRightInd w:val="0"/>
        <w:spacing w:after="0" w:line="276" w:lineRule="auto"/>
        <w:rPr>
          <w:rFonts w:ascii="Arial" w:hAnsi="Arial" w:cs="Arial"/>
          <w:b/>
          <w:sz w:val="24"/>
          <w:szCs w:val="24"/>
        </w:rPr>
      </w:pPr>
      <w:r w:rsidRPr="00A85730">
        <w:rPr>
          <w:rFonts w:ascii="Arial" w:hAnsi="Arial" w:cs="Arial"/>
          <w:b/>
          <w:sz w:val="24"/>
          <w:szCs w:val="24"/>
        </w:rPr>
        <w:t>Linyit Rezervlerinin Kalori Bazında Dağılımı</w:t>
      </w:r>
    </w:p>
    <w:p w:rsidR="00605490" w:rsidRPr="00605490" w:rsidRDefault="00605490" w:rsidP="00A85730">
      <w:pPr>
        <w:autoSpaceDE w:val="0"/>
        <w:autoSpaceDN w:val="0"/>
        <w:adjustRightInd w:val="0"/>
        <w:spacing w:after="0" w:line="276" w:lineRule="auto"/>
        <w:rPr>
          <w:rFonts w:ascii="Arial" w:hAnsi="Arial" w:cs="Arial"/>
          <w:sz w:val="24"/>
          <w:szCs w:val="24"/>
        </w:rPr>
      </w:pPr>
      <w:r w:rsidRPr="00605490">
        <w:rPr>
          <w:rFonts w:ascii="Arial" w:hAnsi="Arial" w:cs="Arial"/>
          <w:sz w:val="24"/>
          <w:szCs w:val="24"/>
        </w:rPr>
        <w:t xml:space="preserve">(AID; </w:t>
      </w:r>
      <w:proofErr w:type="spellStart"/>
      <w:r w:rsidRPr="00605490">
        <w:rPr>
          <w:rFonts w:ascii="Arial" w:hAnsi="Arial" w:cs="Arial"/>
          <w:sz w:val="24"/>
          <w:szCs w:val="24"/>
        </w:rPr>
        <w:t>kcal</w:t>
      </w:r>
      <w:proofErr w:type="spellEnd"/>
      <w:r w:rsidRPr="00605490">
        <w:rPr>
          <w:rFonts w:ascii="Arial" w:hAnsi="Arial" w:cs="Arial"/>
          <w:sz w:val="24"/>
          <w:szCs w:val="24"/>
        </w:rPr>
        <w:t>/kg)</w:t>
      </w:r>
    </w:p>
    <w:p w:rsidR="00605490" w:rsidRPr="00605490" w:rsidRDefault="00605490" w:rsidP="00A85730">
      <w:pPr>
        <w:autoSpaceDE w:val="0"/>
        <w:autoSpaceDN w:val="0"/>
        <w:adjustRightInd w:val="0"/>
        <w:spacing w:after="0" w:line="276" w:lineRule="auto"/>
        <w:rPr>
          <w:rFonts w:ascii="Arial" w:hAnsi="Arial" w:cs="Arial"/>
          <w:i/>
          <w:iCs/>
          <w:sz w:val="24"/>
          <w:szCs w:val="24"/>
        </w:rPr>
      </w:pPr>
      <w:r w:rsidRPr="00605490">
        <w:rPr>
          <w:rFonts w:ascii="Arial" w:hAnsi="Arial" w:cs="Arial"/>
          <w:i/>
          <w:iCs/>
          <w:sz w:val="24"/>
          <w:szCs w:val="24"/>
        </w:rPr>
        <w:t xml:space="preserve">Kaynak: MTA, TKİ, </w:t>
      </w:r>
      <w:proofErr w:type="gramStart"/>
      <w:r w:rsidRPr="00605490">
        <w:rPr>
          <w:rFonts w:ascii="Arial" w:hAnsi="Arial" w:cs="Arial"/>
          <w:i/>
          <w:iCs/>
          <w:sz w:val="24"/>
          <w:szCs w:val="24"/>
        </w:rPr>
        <w:t>EÜAŞ,MİGEM</w:t>
      </w:r>
      <w:proofErr w:type="gramEnd"/>
      <w:r w:rsidRPr="00605490">
        <w:rPr>
          <w:rFonts w:ascii="Arial" w:hAnsi="Arial" w:cs="Arial"/>
          <w:i/>
          <w:iCs/>
          <w:sz w:val="24"/>
          <w:szCs w:val="24"/>
        </w:rPr>
        <w:t xml:space="preserve"> 2013</w:t>
      </w:r>
    </w:p>
    <w:p w:rsidR="00605490" w:rsidRPr="00605490" w:rsidRDefault="00605490" w:rsidP="00A85730">
      <w:pPr>
        <w:autoSpaceDE w:val="0"/>
        <w:autoSpaceDN w:val="0"/>
        <w:adjustRightInd w:val="0"/>
        <w:spacing w:after="0" w:line="276" w:lineRule="auto"/>
        <w:rPr>
          <w:rFonts w:ascii="Arial" w:hAnsi="Arial" w:cs="Arial"/>
          <w:sz w:val="24"/>
          <w:szCs w:val="24"/>
        </w:rPr>
      </w:pPr>
      <w:r w:rsidRPr="00605490">
        <w:rPr>
          <w:rFonts w:ascii="Arial" w:hAnsi="Arial" w:cs="Arial"/>
          <w:sz w:val="24"/>
          <w:szCs w:val="24"/>
        </w:rPr>
        <w:t xml:space="preserve">Ülkemiz linyit rezervlerinin alt ısıl değeri(AID); 1000 </w:t>
      </w:r>
      <w:proofErr w:type="spellStart"/>
      <w:r w:rsidRPr="00605490">
        <w:rPr>
          <w:rFonts w:ascii="Arial" w:hAnsi="Arial" w:cs="Arial"/>
          <w:sz w:val="24"/>
          <w:szCs w:val="24"/>
        </w:rPr>
        <w:t>kcal</w:t>
      </w:r>
      <w:proofErr w:type="spellEnd"/>
      <w:r w:rsidRPr="00605490">
        <w:rPr>
          <w:rFonts w:ascii="Arial" w:hAnsi="Arial" w:cs="Arial"/>
          <w:sz w:val="24"/>
          <w:szCs w:val="24"/>
        </w:rPr>
        <w:t xml:space="preserve">/kg ile 4200 </w:t>
      </w:r>
      <w:proofErr w:type="spellStart"/>
      <w:r w:rsidRPr="00605490">
        <w:rPr>
          <w:rFonts w:ascii="Arial" w:hAnsi="Arial" w:cs="Arial"/>
          <w:sz w:val="24"/>
          <w:szCs w:val="24"/>
        </w:rPr>
        <w:t>kcal</w:t>
      </w:r>
      <w:proofErr w:type="spellEnd"/>
      <w:r w:rsidRPr="00605490">
        <w:rPr>
          <w:rFonts w:ascii="Arial" w:hAnsi="Arial" w:cs="Arial"/>
          <w:sz w:val="24"/>
          <w:szCs w:val="24"/>
        </w:rPr>
        <w:t xml:space="preserve"> /kg arasında</w:t>
      </w:r>
    </w:p>
    <w:p w:rsidR="00605490" w:rsidRPr="00605490" w:rsidRDefault="00605490" w:rsidP="00A85730">
      <w:pPr>
        <w:autoSpaceDE w:val="0"/>
        <w:autoSpaceDN w:val="0"/>
        <w:adjustRightInd w:val="0"/>
        <w:spacing w:after="0" w:line="276" w:lineRule="auto"/>
        <w:rPr>
          <w:rFonts w:ascii="Arial" w:hAnsi="Arial" w:cs="Arial"/>
          <w:sz w:val="24"/>
          <w:szCs w:val="24"/>
        </w:rPr>
      </w:pPr>
      <w:proofErr w:type="gramStart"/>
      <w:r w:rsidRPr="00605490">
        <w:rPr>
          <w:rFonts w:ascii="Arial" w:hAnsi="Arial" w:cs="Arial"/>
          <w:sz w:val="24"/>
          <w:szCs w:val="24"/>
        </w:rPr>
        <w:t>değişiklik</w:t>
      </w:r>
      <w:proofErr w:type="gramEnd"/>
      <w:r w:rsidRPr="00605490">
        <w:rPr>
          <w:rFonts w:ascii="Arial" w:hAnsi="Arial" w:cs="Arial"/>
          <w:sz w:val="24"/>
          <w:szCs w:val="24"/>
        </w:rPr>
        <w:t xml:space="preserve"> göstermektedir. Örneğin, en büyük rezervin bulunduğu Afşin-Elbistan</w:t>
      </w:r>
    </w:p>
    <w:p w:rsidR="00605490" w:rsidRPr="00605490" w:rsidRDefault="00605490" w:rsidP="00A85730">
      <w:pPr>
        <w:autoSpaceDE w:val="0"/>
        <w:autoSpaceDN w:val="0"/>
        <w:adjustRightInd w:val="0"/>
        <w:spacing w:after="0" w:line="276" w:lineRule="auto"/>
        <w:rPr>
          <w:rFonts w:ascii="Arial" w:hAnsi="Arial" w:cs="Arial"/>
          <w:sz w:val="24"/>
          <w:szCs w:val="24"/>
        </w:rPr>
      </w:pPr>
      <w:proofErr w:type="gramStart"/>
      <w:r w:rsidRPr="00605490">
        <w:rPr>
          <w:rFonts w:ascii="Arial" w:hAnsi="Arial" w:cs="Arial"/>
          <w:sz w:val="24"/>
          <w:szCs w:val="24"/>
        </w:rPr>
        <w:t>havzasındaki</w:t>
      </w:r>
      <w:proofErr w:type="gramEnd"/>
      <w:r w:rsidRPr="00605490">
        <w:rPr>
          <w:rFonts w:ascii="Arial" w:hAnsi="Arial" w:cs="Arial"/>
          <w:sz w:val="24"/>
          <w:szCs w:val="24"/>
        </w:rPr>
        <w:t xml:space="preserve"> linyit kömürünün alt ısıl değeri 900-1250 </w:t>
      </w:r>
      <w:proofErr w:type="spellStart"/>
      <w:r w:rsidRPr="00605490">
        <w:rPr>
          <w:rFonts w:ascii="Arial" w:hAnsi="Arial" w:cs="Arial"/>
          <w:sz w:val="24"/>
          <w:szCs w:val="24"/>
        </w:rPr>
        <w:t>kcal</w:t>
      </w:r>
      <w:proofErr w:type="spellEnd"/>
      <w:r w:rsidRPr="00605490">
        <w:rPr>
          <w:rFonts w:ascii="Arial" w:hAnsi="Arial" w:cs="Arial"/>
          <w:sz w:val="24"/>
          <w:szCs w:val="24"/>
        </w:rPr>
        <w:t>/kg’dır.</w:t>
      </w:r>
    </w:p>
    <w:p w:rsidR="00605490" w:rsidRPr="00605490" w:rsidRDefault="00605490" w:rsidP="00A85730">
      <w:pPr>
        <w:autoSpaceDE w:val="0"/>
        <w:autoSpaceDN w:val="0"/>
        <w:adjustRightInd w:val="0"/>
        <w:spacing w:after="0" w:line="276" w:lineRule="auto"/>
        <w:rPr>
          <w:rFonts w:ascii="Arial" w:hAnsi="Arial" w:cs="Arial"/>
          <w:sz w:val="24"/>
          <w:szCs w:val="24"/>
        </w:rPr>
      </w:pPr>
      <w:r w:rsidRPr="00605490">
        <w:rPr>
          <w:rFonts w:ascii="Arial" w:hAnsi="Arial" w:cs="Arial"/>
          <w:sz w:val="24"/>
          <w:szCs w:val="24"/>
        </w:rPr>
        <w:t>Son yıllarda bulunan Afyon-Dinar ile Konya- Karapınar’ın toplam rezervi, 2,7 milyar</w:t>
      </w:r>
    </w:p>
    <w:p w:rsidR="00605490" w:rsidRPr="00605490" w:rsidRDefault="00605490" w:rsidP="00A85730">
      <w:pPr>
        <w:autoSpaceDE w:val="0"/>
        <w:autoSpaceDN w:val="0"/>
        <w:adjustRightInd w:val="0"/>
        <w:spacing w:after="0" w:line="276" w:lineRule="auto"/>
        <w:rPr>
          <w:rFonts w:ascii="Arial" w:hAnsi="Arial" w:cs="Arial"/>
          <w:sz w:val="24"/>
          <w:szCs w:val="24"/>
        </w:rPr>
      </w:pPr>
      <w:proofErr w:type="gramStart"/>
      <w:r w:rsidRPr="00605490">
        <w:rPr>
          <w:rFonts w:ascii="Arial" w:hAnsi="Arial" w:cs="Arial"/>
          <w:sz w:val="24"/>
          <w:szCs w:val="24"/>
        </w:rPr>
        <w:t>ton</w:t>
      </w:r>
      <w:proofErr w:type="gramEnd"/>
      <w:r w:rsidRPr="00605490">
        <w:rPr>
          <w:rFonts w:ascii="Arial" w:hAnsi="Arial" w:cs="Arial"/>
          <w:sz w:val="24"/>
          <w:szCs w:val="24"/>
        </w:rPr>
        <w:t xml:space="preserve"> olup ortalama AID;1330 </w:t>
      </w:r>
      <w:proofErr w:type="spellStart"/>
      <w:r w:rsidRPr="00605490">
        <w:rPr>
          <w:rFonts w:ascii="Arial" w:hAnsi="Arial" w:cs="Arial"/>
          <w:sz w:val="24"/>
          <w:szCs w:val="24"/>
        </w:rPr>
        <w:t>kcal</w:t>
      </w:r>
      <w:proofErr w:type="spellEnd"/>
      <w:r w:rsidRPr="00605490">
        <w:rPr>
          <w:rFonts w:ascii="Arial" w:hAnsi="Arial" w:cs="Arial"/>
          <w:sz w:val="24"/>
          <w:szCs w:val="24"/>
        </w:rPr>
        <w:t>/kg, toplam rezervi 902 milyon olan Eskişehir-</w:t>
      </w:r>
    </w:p>
    <w:p w:rsidR="00605490" w:rsidRPr="00605490" w:rsidRDefault="00605490" w:rsidP="00A85730">
      <w:pPr>
        <w:autoSpaceDE w:val="0"/>
        <w:autoSpaceDN w:val="0"/>
        <w:adjustRightInd w:val="0"/>
        <w:spacing w:after="0" w:line="276" w:lineRule="auto"/>
        <w:rPr>
          <w:rFonts w:ascii="Arial" w:hAnsi="Arial" w:cs="Arial"/>
          <w:sz w:val="24"/>
          <w:szCs w:val="24"/>
        </w:rPr>
      </w:pPr>
      <w:r w:rsidRPr="00605490">
        <w:rPr>
          <w:rFonts w:ascii="Arial" w:hAnsi="Arial" w:cs="Arial"/>
          <w:sz w:val="24"/>
          <w:szCs w:val="24"/>
        </w:rPr>
        <w:t xml:space="preserve">Alpu’nun AID;2100 </w:t>
      </w:r>
      <w:proofErr w:type="spellStart"/>
      <w:r w:rsidRPr="00605490">
        <w:rPr>
          <w:rFonts w:ascii="Arial" w:hAnsi="Arial" w:cs="Arial"/>
          <w:sz w:val="24"/>
          <w:szCs w:val="24"/>
        </w:rPr>
        <w:t>kcal</w:t>
      </w:r>
      <w:proofErr w:type="spellEnd"/>
      <w:r w:rsidRPr="00605490">
        <w:rPr>
          <w:rFonts w:ascii="Arial" w:hAnsi="Arial" w:cs="Arial"/>
          <w:sz w:val="24"/>
          <w:szCs w:val="24"/>
        </w:rPr>
        <w:t xml:space="preserve">/kg’dır (Tablo </w:t>
      </w:r>
      <w:proofErr w:type="gramStart"/>
      <w:r w:rsidRPr="00605490">
        <w:rPr>
          <w:rFonts w:ascii="Arial" w:hAnsi="Arial" w:cs="Arial"/>
          <w:sz w:val="24"/>
          <w:szCs w:val="24"/>
        </w:rPr>
        <w:t>2.4</w:t>
      </w:r>
      <w:proofErr w:type="gramEnd"/>
      <w:r w:rsidRPr="00605490">
        <w:rPr>
          <w:rFonts w:ascii="Arial" w:hAnsi="Arial" w:cs="Arial"/>
          <w:sz w:val="24"/>
          <w:szCs w:val="24"/>
        </w:rPr>
        <w:t>). Bulunan linyit rezervi değerlerinin de</w:t>
      </w:r>
    </w:p>
    <w:p w:rsidR="00605490" w:rsidRPr="00605490" w:rsidRDefault="00605490" w:rsidP="00A85730">
      <w:pPr>
        <w:autoSpaceDE w:val="0"/>
        <w:autoSpaceDN w:val="0"/>
        <w:adjustRightInd w:val="0"/>
        <w:spacing w:after="0" w:line="276" w:lineRule="auto"/>
        <w:rPr>
          <w:rFonts w:ascii="Arial" w:hAnsi="Arial" w:cs="Arial"/>
          <w:sz w:val="24"/>
          <w:szCs w:val="24"/>
        </w:rPr>
      </w:pPr>
      <w:proofErr w:type="gramStart"/>
      <w:r w:rsidRPr="00605490">
        <w:rPr>
          <w:rFonts w:ascii="Arial" w:hAnsi="Arial" w:cs="Arial"/>
          <w:sz w:val="24"/>
          <w:szCs w:val="24"/>
        </w:rPr>
        <w:t>ilavesiyle</w:t>
      </w:r>
      <w:proofErr w:type="gramEnd"/>
      <w:r w:rsidRPr="00605490">
        <w:rPr>
          <w:rFonts w:ascii="Arial" w:hAnsi="Arial" w:cs="Arial"/>
          <w:sz w:val="24"/>
          <w:szCs w:val="24"/>
        </w:rPr>
        <w:t xml:space="preserve">, Türkiye linyit rezervlerinin AID olarak; %73’ü 2000 </w:t>
      </w:r>
      <w:proofErr w:type="spellStart"/>
      <w:r w:rsidRPr="00605490">
        <w:rPr>
          <w:rFonts w:ascii="Arial" w:hAnsi="Arial" w:cs="Arial"/>
          <w:sz w:val="24"/>
          <w:szCs w:val="24"/>
        </w:rPr>
        <w:t>kcal</w:t>
      </w:r>
      <w:proofErr w:type="spellEnd"/>
      <w:r w:rsidRPr="00605490">
        <w:rPr>
          <w:rFonts w:ascii="Arial" w:hAnsi="Arial" w:cs="Arial"/>
          <w:sz w:val="24"/>
          <w:szCs w:val="24"/>
        </w:rPr>
        <w:t xml:space="preserve">/kg </w:t>
      </w:r>
      <w:proofErr w:type="spellStart"/>
      <w:r w:rsidRPr="00605490">
        <w:rPr>
          <w:rFonts w:ascii="Arial" w:hAnsi="Arial" w:cs="Arial"/>
          <w:sz w:val="24"/>
          <w:szCs w:val="24"/>
        </w:rPr>
        <w:t>ın</w:t>
      </w:r>
      <w:proofErr w:type="spellEnd"/>
      <w:r w:rsidRPr="00605490">
        <w:rPr>
          <w:rFonts w:ascii="Arial" w:hAnsi="Arial" w:cs="Arial"/>
          <w:sz w:val="24"/>
          <w:szCs w:val="24"/>
        </w:rPr>
        <w:t xml:space="preserve"> altında,</w:t>
      </w:r>
    </w:p>
    <w:p w:rsidR="00605490" w:rsidRPr="00605490" w:rsidRDefault="00605490" w:rsidP="00A85730">
      <w:pPr>
        <w:autoSpaceDE w:val="0"/>
        <w:autoSpaceDN w:val="0"/>
        <w:adjustRightInd w:val="0"/>
        <w:spacing w:after="0" w:line="276" w:lineRule="auto"/>
        <w:rPr>
          <w:rFonts w:ascii="Arial" w:hAnsi="Arial" w:cs="Arial"/>
          <w:sz w:val="24"/>
          <w:szCs w:val="24"/>
        </w:rPr>
      </w:pPr>
      <w:r w:rsidRPr="00605490">
        <w:rPr>
          <w:rFonts w:ascii="Arial" w:hAnsi="Arial" w:cs="Arial"/>
          <w:sz w:val="24"/>
          <w:szCs w:val="24"/>
        </w:rPr>
        <w:t xml:space="preserve">%22’si 2001-3000 </w:t>
      </w:r>
      <w:proofErr w:type="spellStart"/>
      <w:r w:rsidRPr="00605490">
        <w:rPr>
          <w:rFonts w:ascii="Arial" w:hAnsi="Arial" w:cs="Arial"/>
          <w:sz w:val="24"/>
          <w:szCs w:val="24"/>
        </w:rPr>
        <w:t>kcal</w:t>
      </w:r>
      <w:proofErr w:type="spellEnd"/>
      <w:r w:rsidRPr="00605490">
        <w:rPr>
          <w:rFonts w:ascii="Arial" w:hAnsi="Arial" w:cs="Arial"/>
          <w:sz w:val="24"/>
          <w:szCs w:val="24"/>
        </w:rPr>
        <w:t xml:space="preserve">/kg arasında, %5’ide 4000 </w:t>
      </w:r>
      <w:proofErr w:type="spellStart"/>
      <w:r w:rsidRPr="00605490">
        <w:rPr>
          <w:rFonts w:ascii="Arial" w:hAnsi="Arial" w:cs="Arial"/>
          <w:sz w:val="24"/>
          <w:szCs w:val="24"/>
        </w:rPr>
        <w:t>kcal</w:t>
      </w:r>
      <w:proofErr w:type="spellEnd"/>
      <w:r w:rsidRPr="00605490">
        <w:rPr>
          <w:rFonts w:ascii="Arial" w:hAnsi="Arial" w:cs="Arial"/>
          <w:sz w:val="24"/>
          <w:szCs w:val="24"/>
        </w:rPr>
        <w:t>/kg üzerindedir</w:t>
      </w:r>
    </w:p>
    <w:sectPr w:rsidR="00605490" w:rsidRPr="00605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Italic">
    <w:altName w:val="Arial"/>
    <w:panose1 w:val="00000000000000000000"/>
    <w:charset w:val="00"/>
    <w:family w:val="swiss"/>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81792"/>
    <w:multiLevelType w:val="hybridMultilevel"/>
    <w:tmpl w:val="0924F76A"/>
    <w:lvl w:ilvl="0" w:tplc="6BA071D2">
      <w:start w:val="1"/>
      <w:numFmt w:val="lowerLetter"/>
      <w:lvlText w:val="%1)"/>
      <w:lvlJc w:val="left"/>
      <w:pPr>
        <w:ind w:left="6024" w:hanging="360"/>
      </w:pPr>
      <w:rPr>
        <w:rFonts w:hint="default"/>
      </w:rPr>
    </w:lvl>
    <w:lvl w:ilvl="1" w:tplc="041F0019" w:tentative="1">
      <w:start w:val="1"/>
      <w:numFmt w:val="lowerLetter"/>
      <w:lvlText w:val="%2."/>
      <w:lvlJc w:val="left"/>
      <w:pPr>
        <w:ind w:left="6744" w:hanging="360"/>
      </w:pPr>
    </w:lvl>
    <w:lvl w:ilvl="2" w:tplc="041F001B" w:tentative="1">
      <w:start w:val="1"/>
      <w:numFmt w:val="lowerRoman"/>
      <w:lvlText w:val="%3."/>
      <w:lvlJc w:val="right"/>
      <w:pPr>
        <w:ind w:left="7464" w:hanging="180"/>
      </w:pPr>
    </w:lvl>
    <w:lvl w:ilvl="3" w:tplc="041F000F" w:tentative="1">
      <w:start w:val="1"/>
      <w:numFmt w:val="decimal"/>
      <w:lvlText w:val="%4."/>
      <w:lvlJc w:val="left"/>
      <w:pPr>
        <w:ind w:left="8184" w:hanging="360"/>
      </w:pPr>
    </w:lvl>
    <w:lvl w:ilvl="4" w:tplc="041F0019" w:tentative="1">
      <w:start w:val="1"/>
      <w:numFmt w:val="lowerLetter"/>
      <w:lvlText w:val="%5."/>
      <w:lvlJc w:val="left"/>
      <w:pPr>
        <w:ind w:left="8904" w:hanging="360"/>
      </w:pPr>
    </w:lvl>
    <w:lvl w:ilvl="5" w:tplc="041F001B" w:tentative="1">
      <w:start w:val="1"/>
      <w:numFmt w:val="lowerRoman"/>
      <w:lvlText w:val="%6."/>
      <w:lvlJc w:val="right"/>
      <w:pPr>
        <w:ind w:left="9624" w:hanging="180"/>
      </w:pPr>
    </w:lvl>
    <w:lvl w:ilvl="6" w:tplc="041F000F" w:tentative="1">
      <w:start w:val="1"/>
      <w:numFmt w:val="decimal"/>
      <w:lvlText w:val="%7."/>
      <w:lvlJc w:val="left"/>
      <w:pPr>
        <w:ind w:left="10344" w:hanging="360"/>
      </w:pPr>
    </w:lvl>
    <w:lvl w:ilvl="7" w:tplc="041F0019" w:tentative="1">
      <w:start w:val="1"/>
      <w:numFmt w:val="lowerLetter"/>
      <w:lvlText w:val="%8."/>
      <w:lvlJc w:val="left"/>
      <w:pPr>
        <w:ind w:left="11064" w:hanging="360"/>
      </w:pPr>
    </w:lvl>
    <w:lvl w:ilvl="8" w:tplc="041F001B" w:tentative="1">
      <w:start w:val="1"/>
      <w:numFmt w:val="lowerRoman"/>
      <w:lvlText w:val="%9."/>
      <w:lvlJc w:val="right"/>
      <w:pPr>
        <w:ind w:left="117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C1"/>
    <w:rsid w:val="00096F02"/>
    <w:rsid w:val="000F19EF"/>
    <w:rsid w:val="0010499B"/>
    <w:rsid w:val="001677A9"/>
    <w:rsid w:val="001C020E"/>
    <w:rsid w:val="002E2E14"/>
    <w:rsid w:val="002F5835"/>
    <w:rsid w:val="00396B5D"/>
    <w:rsid w:val="00412087"/>
    <w:rsid w:val="00425D11"/>
    <w:rsid w:val="00605490"/>
    <w:rsid w:val="0062495D"/>
    <w:rsid w:val="0080405F"/>
    <w:rsid w:val="00833149"/>
    <w:rsid w:val="008C742F"/>
    <w:rsid w:val="009B6403"/>
    <w:rsid w:val="00A7503C"/>
    <w:rsid w:val="00A85730"/>
    <w:rsid w:val="00AA2A4E"/>
    <w:rsid w:val="00B24B72"/>
    <w:rsid w:val="00B571BC"/>
    <w:rsid w:val="00B5795B"/>
    <w:rsid w:val="00B61E44"/>
    <w:rsid w:val="00BA5171"/>
    <w:rsid w:val="00BE2ECF"/>
    <w:rsid w:val="00CC53D1"/>
    <w:rsid w:val="00D068B7"/>
    <w:rsid w:val="00D81FC1"/>
    <w:rsid w:val="00E136B2"/>
    <w:rsid w:val="00E970F2"/>
    <w:rsid w:val="00EA364F"/>
    <w:rsid w:val="00F91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16D3"/>
  <w15:chartTrackingRefBased/>
  <w15:docId w15:val="{10C0DD6E-2C9F-4033-956D-09E75E1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36B2"/>
    <w:pPr>
      <w:ind w:left="720"/>
      <w:contextualSpacing/>
    </w:pPr>
  </w:style>
  <w:style w:type="table" w:styleId="TabloKlavuzu">
    <w:name w:val="Table Grid"/>
    <w:basedOn w:val="NormalTablo"/>
    <w:uiPriority w:val="39"/>
    <w:rsid w:val="00B6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4</Pages>
  <Words>1284</Words>
  <Characters>7320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28</cp:revision>
  <dcterms:created xsi:type="dcterms:W3CDTF">2017-11-15T07:14:00Z</dcterms:created>
  <dcterms:modified xsi:type="dcterms:W3CDTF">2017-11-29T06:08:00Z</dcterms:modified>
</cp:coreProperties>
</file>