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01" w:rsidRDefault="003838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Ham Petrol</w:t>
      </w:r>
    </w:p>
    <w:p w:rsidR="0038382F" w:rsidRDefault="0038382F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Petrol çok karmaşık organik bileşikleri içeren bir sıvı karışım olarak kabul edilir. </w:t>
      </w:r>
      <w:r w:rsidR="006D3F0D">
        <w:rPr>
          <w:rFonts w:ascii="Arial" w:hAnsi="Arial" w:cs="Arial"/>
          <w:sz w:val="24"/>
          <w:szCs w:val="24"/>
        </w:rPr>
        <w:t xml:space="preserve">Petrol yatakları genellikle doğal gaz yataklarına yakın yerlerde bulunur. Petrolün ana yapısı hidrokarbon bileşikleridir. Bu hidrokarbonlar alkanlar ve bazı </w:t>
      </w:r>
      <w:proofErr w:type="gramStart"/>
      <w:r w:rsidR="006D3F0D">
        <w:rPr>
          <w:rFonts w:ascii="Arial" w:hAnsi="Arial" w:cs="Arial"/>
          <w:sz w:val="24"/>
          <w:szCs w:val="24"/>
        </w:rPr>
        <w:t>siklik</w:t>
      </w:r>
      <w:proofErr w:type="gramEnd"/>
      <w:r w:rsidR="006D3F0D">
        <w:rPr>
          <w:rFonts w:ascii="Arial" w:hAnsi="Arial" w:cs="Arial"/>
          <w:sz w:val="24"/>
          <w:szCs w:val="24"/>
        </w:rPr>
        <w:t xml:space="preserve"> (halkalı yapı) bileşikleridir. Petrolün içinde değişen oranlarda kükürtlü-, azotlu bileşikler ile oksijen içeren bileşikler de bulunabilir.</w:t>
      </w:r>
    </w:p>
    <w:p w:rsidR="00FA1388" w:rsidRDefault="00FA1388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Kömürlerin orijini daha önce anlatıldığı gibi bitkisel kaynaklıdır. Son araştırmalara göre petrol hayvansal kaynaklı bir fosil yakıt olarak kabul edilmektedir. </w:t>
      </w:r>
      <w:proofErr w:type="spellStart"/>
      <w:r w:rsidR="00F420E3">
        <w:rPr>
          <w:rFonts w:ascii="Arial" w:hAnsi="Arial" w:cs="Arial"/>
          <w:sz w:val="24"/>
          <w:szCs w:val="24"/>
        </w:rPr>
        <w:t>Okyonuslarda</w:t>
      </w:r>
      <w:proofErr w:type="spellEnd"/>
      <w:r w:rsidR="00F420E3">
        <w:rPr>
          <w:rFonts w:ascii="Arial" w:hAnsi="Arial" w:cs="Arial"/>
          <w:sz w:val="24"/>
          <w:szCs w:val="24"/>
        </w:rPr>
        <w:t xml:space="preserve"> bulunan yağ asitlerinin, mikroskobik hayvanların petrolün orijini olduğu kabul edilmektedir. Yağ asitleri karbon ve hidrojen içeren ve az miktarda oksijen bulunduran yapıdadır (örneğin; c</w:t>
      </w:r>
      <w:r w:rsidR="00F420E3">
        <w:rPr>
          <w:rFonts w:ascii="Arial" w:hAnsi="Arial" w:cs="Arial"/>
          <w:sz w:val="24"/>
          <w:szCs w:val="24"/>
          <w:vertAlign w:val="subscript"/>
        </w:rPr>
        <w:t>57</w:t>
      </w:r>
      <w:r w:rsidR="00F420E3" w:rsidRPr="00F420E3">
        <w:rPr>
          <w:rFonts w:ascii="Arial" w:hAnsi="Arial" w:cs="Arial"/>
          <w:sz w:val="24"/>
          <w:szCs w:val="24"/>
        </w:rPr>
        <w:t>H</w:t>
      </w:r>
      <w:r w:rsidR="00F420E3" w:rsidRPr="00F420E3">
        <w:rPr>
          <w:rFonts w:ascii="Arial" w:hAnsi="Arial" w:cs="Arial"/>
          <w:sz w:val="24"/>
          <w:szCs w:val="24"/>
          <w:vertAlign w:val="subscript"/>
        </w:rPr>
        <w:t>110</w:t>
      </w:r>
      <w:r w:rsidR="00F420E3">
        <w:rPr>
          <w:rFonts w:ascii="Arial" w:hAnsi="Arial" w:cs="Arial"/>
          <w:sz w:val="24"/>
          <w:szCs w:val="24"/>
        </w:rPr>
        <w:t>O</w:t>
      </w:r>
      <w:r w:rsidR="0069475F">
        <w:rPr>
          <w:rFonts w:ascii="Arial" w:hAnsi="Arial" w:cs="Arial"/>
          <w:sz w:val="24"/>
          <w:szCs w:val="24"/>
          <w:vertAlign w:val="subscript"/>
        </w:rPr>
        <w:t>6</w:t>
      </w:r>
      <w:r w:rsidR="0069475F">
        <w:rPr>
          <w:rFonts w:ascii="Arial" w:hAnsi="Arial" w:cs="Arial"/>
          <w:sz w:val="24"/>
          <w:szCs w:val="24"/>
        </w:rPr>
        <w:t>). Bu yağ asitlerinden oksijenin uzaklaştırılması ve karbon-hidrojen atomları arasındaki küçük düzenlenmeler sonucu oluşan bileşikler petrol içinde bulunan tipik hidrokarbon bileşiklerine benzerlik göstermektedir.</w:t>
      </w:r>
    </w:p>
    <w:p w:rsidR="00B228F9" w:rsidRDefault="00B228F9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Ham petrol yer altından çıkarıldığı haliyle kullanılmaz. İhtiyaçlarımıza uygun olarak ham petrol </w:t>
      </w:r>
      <w:proofErr w:type="spellStart"/>
      <w:r>
        <w:rPr>
          <w:rFonts w:ascii="Arial" w:hAnsi="Arial" w:cs="Arial"/>
          <w:sz w:val="24"/>
          <w:szCs w:val="24"/>
        </w:rPr>
        <w:t>destilasyon</w:t>
      </w:r>
      <w:proofErr w:type="spellEnd"/>
      <w:r>
        <w:rPr>
          <w:rFonts w:ascii="Arial" w:hAnsi="Arial" w:cs="Arial"/>
          <w:sz w:val="24"/>
          <w:szCs w:val="24"/>
        </w:rPr>
        <w:t xml:space="preserve"> kolonlarında </w:t>
      </w:r>
      <w:proofErr w:type="gramStart"/>
      <w:r>
        <w:rPr>
          <w:rFonts w:ascii="Arial" w:hAnsi="Arial" w:cs="Arial"/>
          <w:sz w:val="24"/>
          <w:szCs w:val="24"/>
        </w:rPr>
        <w:t>fraksiyonlarına</w:t>
      </w:r>
      <w:proofErr w:type="gramEnd"/>
      <w:r>
        <w:rPr>
          <w:rFonts w:ascii="Arial" w:hAnsi="Arial" w:cs="Arial"/>
          <w:sz w:val="24"/>
          <w:szCs w:val="24"/>
        </w:rPr>
        <w:t xml:space="preserve"> ayrılır.  Damıtma sırasında kolonun tepesinden en hafif (küçük </w:t>
      </w:r>
      <w:proofErr w:type="spellStart"/>
      <w:r>
        <w:rPr>
          <w:rFonts w:ascii="Arial" w:hAnsi="Arial" w:cs="Arial"/>
          <w:sz w:val="24"/>
          <w:szCs w:val="24"/>
        </w:rPr>
        <w:t>mol</w:t>
      </w:r>
      <w:proofErr w:type="spellEnd"/>
      <w:r>
        <w:rPr>
          <w:rFonts w:ascii="Arial" w:hAnsi="Arial" w:cs="Arial"/>
          <w:sz w:val="24"/>
          <w:szCs w:val="24"/>
        </w:rPr>
        <w:t xml:space="preserve"> kütleli) ürün çıkar ve ağır ürünler kolonun alt kısımlarından alınır.</w:t>
      </w:r>
    </w:p>
    <w:p w:rsidR="00BD49F3" w:rsidRDefault="00BD49F3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Benzin, ham petrolden elde edilen ve en çok kullanılan </w:t>
      </w:r>
      <w:proofErr w:type="gramStart"/>
      <w:r>
        <w:rPr>
          <w:rFonts w:ascii="Arial" w:hAnsi="Arial" w:cs="Arial"/>
          <w:sz w:val="24"/>
          <w:szCs w:val="24"/>
        </w:rPr>
        <w:t>fraksiyondur</w:t>
      </w:r>
      <w:proofErr w:type="gramEnd"/>
      <w:r>
        <w:rPr>
          <w:rFonts w:ascii="Arial" w:hAnsi="Arial" w:cs="Arial"/>
          <w:sz w:val="24"/>
          <w:szCs w:val="24"/>
        </w:rPr>
        <w:t xml:space="preserve">. Yüksek kaynayan bazı bileşiklerin karışımı havasız ortamda ısıtılarak benzine dönüştürülür. </w:t>
      </w:r>
      <w:proofErr w:type="spellStart"/>
      <w:r>
        <w:rPr>
          <w:rFonts w:ascii="Arial" w:hAnsi="Arial" w:cs="Arial"/>
          <w:sz w:val="24"/>
          <w:szCs w:val="24"/>
        </w:rPr>
        <w:t>Kraking</w:t>
      </w:r>
      <w:proofErr w:type="spellEnd"/>
      <w:r w:rsidR="00B0202F">
        <w:rPr>
          <w:rFonts w:ascii="Arial" w:hAnsi="Arial" w:cs="Arial"/>
          <w:sz w:val="24"/>
          <w:szCs w:val="24"/>
        </w:rPr>
        <w:t xml:space="preserve"> işlemiyle büyük </w:t>
      </w:r>
      <w:proofErr w:type="spellStart"/>
      <w:r w:rsidR="00B0202F">
        <w:rPr>
          <w:rFonts w:ascii="Arial" w:hAnsi="Arial" w:cs="Arial"/>
          <w:sz w:val="24"/>
          <w:szCs w:val="24"/>
        </w:rPr>
        <w:t>mol</w:t>
      </w:r>
      <w:proofErr w:type="spellEnd"/>
      <w:r w:rsidR="00B0202F">
        <w:rPr>
          <w:rFonts w:ascii="Arial" w:hAnsi="Arial" w:cs="Arial"/>
          <w:sz w:val="24"/>
          <w:szCs w:val="24"/>
        </w:rPr>
        <w:t xml:space="preserve"> kütleli bileşikler küçük </w:t>
      </w:r>
      <w:proofErr w:type="spellStart"/>
      <w:r w:rsidR="00B0202F">
        <w:rPr>
          <w:rFonts w:ascii="Arial" w:hAnsi="Arial" w:cs="Arial"/>
          <w:sz w:val="24"/>
          <w:szCs w:val="24"/>
        </w:rPr>
        <w:t>mol</w:t>
      </w:r>
      <w:proofErr w:type="spellEnd"/>
      <w:r w:rsidR="00B0202F">
        <w:rPr>
          <w:rFonts w:ascii="Arial" w:hAnsi="Arial" w:cs="Arial"/>
          <w:sz w:val="24"/>
          <w:szCs w:val="24"/>
        </w:rPr>
        <w:t xml:space="preserve"> kütleli bileşiklere dönüştürülür.</w:t>
      </w:r>
      <w:r w:rsidR="00771D9A">
        <w:rPr>
          <w:rFonts w:ascii="Arial" w:hAnsi="Arial" w:cs="Arial"/>
          <w:sz w:val="24"/>
          <w:szCs w:val="24"/>
        </w:rPr>
        <w:t xml:space="preserve"> Bu sırada benzin aralığında kalan bileşikler (C</w:t>
      </w:r>
      <w:r w:rsidR="00771D9A">
        <w:rPr>
          <w:rFonts w:ascii="Arial" w:hAnsi="Arial" w:cs="Arial"/>
          <w:sz w:val="24"/>
          <w:szCs w:val="24"/>
          <w:vertAlign w:val="subscript"/>
        </w:rPr>
        <w:t>5H</w:t>
      </w:r>
      <w:r w:rsidR="00771D9A">
        <w:rPr>
          <w:rFonts w:ascii="Arial" w:hAnsi="Arial" w:cs="Arial"/>
          <w:sz w:val="24"/>
          <w:szCs w:val="24"/>
        </w:rPr>
        <w:t>12 İla C</w:t>
      </w:r>
      <w:r w:rsidR="00771D9A">
        <w:rPr>
          <w:rFonts w:ascii="Arial" w:hAnsi="Arial" w:cs="Arial"/>
          <w:sz w:val="24"/>
          <w:szCs w:val="24"/>
          <w:vertAlign w:val="subscript"/>
        </w:rPr>
        <w:t>12</w:t>
      </w:r>
      <w:r w:rsidR="00771D9A">
        <w:rPr>
          <w:rFonts w:ascii="Arial" w:hAnsi="Arial" w:cs="Arial"/>
          <w:sz w:val="24"/>
          <w:szCs w:val="24"/>
        </w:rPr>
        <w:t>H</w:t>
      </w:r>
      <w:r w:rsidR="00771D9A">
        <w:rPr>
          <w:rFonts w:ascii="Arial" w:hAnsi="Arial" w:cs="Arial"/>
          <w:sz w:val="24"/>
          <w:szCs w:val="24"/>
          <w:vertAlign w:val="subscript"/>
        </w:rPr>
        <w:t>26</w:t>
      </w:r>
      <w:r w:rsidR="00771D9A">
        <w:rPr>
          <w:rFonts w:ascii="Arial" w:hAnsi="Arial" w:cs="Arial"/>
          <w:sz w:val="24"/>
          <w:szCs w:val="24"/>
        </w:rPr>
        <w:t>) başka değerli yan ürünler de oluşur. Bu tür doymamış hidrokarbonlar petrokimya endüstrisinin temelini oluşturur.</w:t>
      </w:r>
    </w:p>
    <w:p w:rsidR="006862B8" w:rsidRDefault="006862B8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Çizelge 4- Tipik petrol </w:t>
      </w:r>
      <w:proofErr w:type="gramStart"/>
      <w:r>
        <w:rPr>
          <w:rFonts w:ascii="Arial" w:hAnsi="Arial" w:cs="Arial"/>
          <w:sz w:val="24"/>
          <w:szCs w:val="24"/>
        </w:rPr>
        <w:t>fraksiyonları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418"/>
        <w:gridCol w:w="3538"/>
      </w:tblGrid>
      <w:tr w:rsidR="006862B8" w:rsidTr="006862B8">
        <w:tc>
          <w:tcPr>
            <w:tcW w:w="1838" w:type="dxa"/>
          </w:tcPr>
          <w:p w:rsid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FRAKSİYON</w:t>
            </w:r>
          </w:p>
        </w:tc>
        <w:tc>
          <w:tcPr>
            <w:tcW w:w="2268" w:type="dxa"/>
          </w:tcPr>
          <w:p w:rsid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Tipik hidrokarbon aralığı</w:t>
            </w:r>
          </w:p>
        </w:tc>
        <w:tc>
          <w:tcPr>
            <w:tcW w:w="1418" w:type="dxa"/>
          </w:tcPr>
          <w:p w:rsidR="006862B8" w:rsidRP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Yaklaşık kaynama aralığı (</w:t>
            </w:r>
            <w:proofErr w:type="spellStart"/>
            <w:r w:rsidRPr="006862B8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38" w:type="dxa"/>
          </w:tcPr>
          <w:p w:rsid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Tipik kullanım yeri</w:t>
            </w:r>
          </w:p>
        </w:tc>
      </w:tr>
      <w:tr w:rsidR="006862B8" w:rsidTr="006862B8">
        <w:tc>
          <w:tcPr>
            <w:tcW w:w="1838" w:type="dxa"/>
          </w:tcPr>
          <w:p w:rsidR="006862B8" w:rsidRDefault="006862B8" w:rsidP="00686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Gaz</w:t>
            </w:r>
          </w:p>
        </w:tc>
        <w:tc>
          <w:tcPr>
            <w:tcW w:w="2268" w:type="dxa"/>
          </w:tcPr>
          <w:p w:rsidR="006862B8" w:rsidRP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ila 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418" w:type="dxa"/>
          </w:tcPr>
          <w:p w:rsidR="006862B8" w:rsidRDefault="004430DA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40’tan az</w:t>
            </w:r>
          </w:p>
        </w:tc>
        <w:tc>
          <w:tcPr>
            <w:tcW w:w="3538" w:type="dxa"/>
          </w:tcPr>
          <w:p w:rsidR="006862B8" w:rsidRDefault="004430DA" w:rsidP="00443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Yakıt, plastik ham maddesi</w:t>
            </w:r>
          </w:p>
        </w:tc>
      </w:tr>
      <w:tr w:rsidR="006862B8" w:rsidTr="006862B8">
        <w:tc>
          <w:tcPr>
            <w:tcW w:w="1838" w:type="dxa"/>
          </w:tcPr>
          <w:p w:rsidR="006862B8" w:rsidRDefault="006862B8" w:rsidP="00686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>
          <w:tcPr>
            <w:tcW w:w="2268" w:type="dxa"/>
          </w:tcPr>
          <w:p w:rsidR="006862B8" w:rsidRP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6862B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ila 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12’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18" w:type="dxa"/>
          </w:tcPr>
          <w:p w:rsidR="006862B8" w:rsidRDefault="004430DA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40-200</w:t>
            </w:r>
          </w:p>
        </w:tc>
        <w:tc>
          <w:tcPr>
            <w:tcW w:w="3538" w:type="dxa"/>
          </w:tcPr>
          <w:p w:rsidR="006862B8" w:rsidRDefault="004430DA" w:rsidP="00443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Yakıt, çözücüler</w:t>
            </w:r>
          </w:p>
        </w:tc>
      </w:tr>
      <w:tr w:rsidR="006862B8" w:rsidTr="006862B8">
        <w:tc>
          <w:tcPr>
            <w:tcW w:w="1838" w:type="dxa"/>
          </w:tcPr>
          <w:p w:rsidR="006862B8" w:rsidRDefault="006862B8" w:rsidP="00686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Mazot</w:t>
            </w:r>
          </w:p>
        </w:tc>
        <w:tc>
          <w:tcPr>
            <w:tcW w:w="2268" w:type="dxa"/>
          </w:tcPr>
          <w:p w:rsidR="006862B8" w:rsidRPr="006862B8" w:rsidRDefault="006862B8" w:rsidP="006862B8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ila 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1418" w:type="dxa"/>
          </w:tcPr>
          <w:p w:rsidR="006862B8" w:rsidRDefault="004430DA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175-275</w:t>
            </w:r>
          </w:p>
        </w:tc>
        <w:tc>
          <w:tcPr>
            <w:tcW w:w="3538" w:type="dxa"/>
          </w:tcPr>
          <w:p w:rsidR="006862B8" w:rsidRDefault="004430DA" w:rsidP="00443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Dizel yakıtı, jet yakıtı, evsel ısıtma,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krakingle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benzine dönüştürme</w:t>
            </w:r>
          </w:p>
        </w:tc>
      </w:tr>
      <w:tr w:rsidR="006862B8" w:rsidTr="004430DA">
        <w:trPr>
          <w:trHeight w:val="404"/>
        </w:trPr>
        <w:tc>
          <w:tcPr>
            <w:tcW w:w="1838" w:type="dxa"/>
          </w:tcPr>
          <w:p w:rsidR="006862B8" w:rsidRDefault="006862B8" w:rsidP="00686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Isıtma yağı</w:t>
            </w:r>
          </w:p>
        </w:tc>
        <w:tc>
          <w:tcPr>
            <w:tcW w:w="2268" w:type="dxa"/>
          </w:tcPr>
          <w:p w:rsidR="006862B8" w:rsidRPr="006862B8" w:rsidRDefault="006862B8" w:rsidP="004430DA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32 </w:t>
            </w:r>
            <w:r>
              <w:rPr>
                <w:rFonts w:ascii="Arial" w:hAnsi="Arial" w:cs="Arial"/>
                <w:sz w:val="24"/>
                <w:szCs w:val="24"/>
              </w:rPr>
              <w:t>ila 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1418" w:type="dxa"/>
          </w:tcPr>
          <w:p w:rsidR="006862B8" w:rsidRDefault="004430DA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250-400</w:t>
            </w:r>
          </w:p>
        </w:tc>
        <w:tc>
          <w:tcPr>
            <w:tcW w:w="3538" w:type="dxa"/>
          </w:tcPr>
          <w:p w:rsidR="006862B8" w:rsidRDefault="004430DA" w:rsidP="00443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Endüstriyel ısıtma, benzine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kraking</w:t>
            </w:r>
            <w:proofErr w:type="spellEnd"/>
          </w:p>
        </w:tc>
      </w:tr>
      <w:tr w:rsidR="006862B8" w:rsidTr="006862B8">
        <w:tc>
          <w:tcPr>
            <w:tcW w:w="1838" w:type="dxa"/>
          </w:tcPr>
          <w:p w:rsidR="006862B8" w:rsidRDefault="006862B8" w:rsidP="00686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Yağlama yağı</w:t>
            </w:r>
          </w:p>
        </w:tc>
        <w:tc>
          <w:tcPr>
            <w:tcW w:w="2268" w:type="dxa"/>
          </w:tcPr>
          <w:p w:rsidR="006862B8" w:rsidRPr="004430DA" w:rsidRDefault="004430DA" w:rsidP="004430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 xml:space="preserve"> ve yukarısı</w:t>
            </w:r>
          </w:p>
        </w:tc>
        <w:tc>
          <w:tcPr>
            <w:tcW w:w="1418" w:type="dxa"/>
          </w:tcPr>
          <w:p w:rsidR="006862B8" w:rsidRDefault="004430DA" w:rsidP="00686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300’ün üzeri</w:t>
            </w:r>
          </w:p>
        </w:tc>
        <w:tc>
          <w:tcPr>
            <w:tcW w:w="3538" w:type="dxa"/>
          </w:tcPr>
          <w:p w:rsidR="006862B8" w:rsidRDefault="004430DA" w:rsidP="00443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yağlayıvı</w:t>
            </w:r>
            <w:proofErr w:type="spellEnd"/>
          </w:p>
        </w:tc>
      </w:tr>
      <w:tr w:rsidR="006862B8" w:rsidTr="006862B8">
        <w:tc>
          <w:tcPr>
            <w:tcW w:w="1838" w:type="dxa"/>
          </w:tcPr>
          <w:p w:rsidR="006862B8" w:rsidRDefault="006862B8" w:rsidP="006D3F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Artık</w:t>
            </w:r>
          </w:p>
        </w:tc>
        <w:tc>
          <w:tcPr>
            <w:tcW w:w="2268" w:type="dxa"/>
          </w:tcPr>
          <w:p w:rsidR="006862B8" w:rsidRPr="004430DA" w:rsidRDefault="004430DA" w:rsidP="006D3F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ve yukarısı</w:t>
            </w:r>
          </w:p>
        </w:tc>
        <w:tc>
          <w:tcPr>
            <w:tcW w:w="1418" w:type="dxa"/>
          </w:tcPr>
          <w:p w:rsidR="006862B8" w:rsidRDefault="004430DA" w:rsidP="006D3F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350’nin üzeri</w:t>
            </w:r>
          </w:p>
        </w:tc>
        <w:tc>
          <w:tcPr>
            <w:tcW w:w="3538" w:type="dxa"/>
          </w:tcPr>
          <w:p w:rsidR="006862B8" w:rsidRDefault="004430DA" w:rsidP="006D3F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Parafin, asfalt</w:t>
            </w:r>
          </w:p>
        </w:tc>
      </w:tr>
    </w:tbl>
    <w:p w:rsidR="006862B8" w:rsidRDefault="006862B8" w:rsidP="006D3F0D">
      <w:pPr>
        <w:jc w:val="both"/>
        <w:rPr>
          <w:rFonts w:ascii="Arial" w:hAnsi="Arial" w:cs="Arial"/>
          <w:sz w:val="24"/>
          <w:szCs w:val="24"/>
        </w:rPr>
      </w:pPr>
    </w:p>
    <w:p w:rsidR="001162F1" w:rsidRDefault="001162F1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Kimyacılar kömür katranı ve petrolden çıkarak plastikleri, pestisitleri, herbisitleri, parfümleri, ağrı kesicileri, antibiyotikleri, uyarıcıları, depresyon ilaçlarını ve deterjanları </w:t>
      </w:r>
      <w:proofErr w:type="spellStart"/>
      <w:r>
        <w:rPr>
          <w:rFonts w:ascii="Arial" w:hAnsi="Arial" w:cs="Arial"/>
          <w:sz w:val="24"/>
          <w:szCs w:val="24"/>
        </w:rPr>
        <w:t>v.b</w:t>
      </w:r>
      <w:proofErr w:type="spellEnd"/>
      <w:r>
        <w:rPr>
          <w:rFonts w:ascii="Arial" w:hAnsi="Arial" w:cs="Arial"/>
          <w:sz w:val="24"/>
          <w:szCs w:val="24"/>
        </w:rPr>
        <w:t xml:space="preserve"> üretebilirler.</w:t>
      </w:r>
    </w:p>
    <w:p w:rsidR="001162F1" w:rsidRDefault="001162F1" w:rsidP="006D3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Petrol bir hidrokarbon bileşikleri karşımı olduğundan kolayca yakılabilir. Örneğin oktan yakıldığında</w:t>
      </w:r>
    </w:p>
    <w:p w:rsidR="001162F1" w:rsidRDefault="001162F1" w:rsidP="001162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2C</w:t>
      </w:r>
      <w:r>
        <w:rPr>
          <w:rFonts w:ascii="Arial" w:hAnsi="Arial" w:cs="Arial"/>
          <w:sz w:val="24"/>
          <w:szCs w:val="24"/>
          <w:vertAlign w:val="subscript"/>
        </w:rPr>
        <w:t>8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18</w:t>
      </w:r>
      <w:r>
        <w:rPr>
          <w:rFonts w:ascii="Arial" w:hAnsi="Arial" w:cs="Arial"/>
          <w:sz w:val="24"/>
          <w:szCs w:val="24"/>
        </w:rPr>
        <w:t xml:space="preserve"> 25O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------- 16CO</w:t>
      </w:r>
      <w:r>
        <w:rPr>
          <w:rFonts w:ascii="Arial" w:hAnsi="Arial" w:cs="Arial"/>
          <w:sz w:val="24"/>
          <w:szCs w:val="24"/>
          <w:vertAlign w:val="subscript"/>
        </w:rPr>
        <w:t>2+</w:t>
      </w:r>
      <w:r w:rsidRPr="001162F1">
        <w:rPr>
          <w:rFonts w:ascii="Arial" w:hAnsi="Arial" w:cs="Arial"/>
          <w:sz w:val="24"/>
          <w:szCs w:val="24"/>
        </w:rPr>
        <w:t>18H</w:t>
      </w:r>
      <w:r w:rsidRPr="001162F1">
        <w:rPr>
          <w:rFonts w:ascii="Arial" w:hAnsi="Arial" w:cs="Arial"/>
          <w:sz w:val="24"/>
          <w:szCs w:val="24"/>
          <w:vertAlign w:val="subscript"/>
        </w:rPr>
        <w:t>2</w:t>
      </w:r>
      <w:r w:rsidRPr="001162F1">
        <w:rPr>
          <w:rFonts w:ascii="Arial" w:hAnsi="Arial" w:cs="Arial"/>
          <w:sz w:val="24"/>
          <w:szCs w:val="24"/>
        </w:rPr>
        <w:t>O</w:t>
      </w:r>
    </w:p>
    <w:p w:rsidR="0071737C" w:rsidRDefault="0071737C" w:rsidP="00717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Tepkimesi oluşur. Havadaki yanma sırasında azot oksitleri de oluşur. Tam olmayan yanma ile is ve karbon monoksit oluşur. Petrolde bulunan az miktardaki kükürt de yanma sırasında kükürt dioksite dönüşür.</w:t>
      </w:r>
    </w:p>
    <w:p w:rsidR="00D81124" w:rsidRDefault="00D81124" w:rsidP="00717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Etkin yakma yapıldığında petrol ürünleri temiz yakıt olarak düşünülebilir. </w:t>
      </w:r>
      <w:proofErr w:type="spellStart"/>
      <w:r>
        <w:rPr>
          <w:rFonts w:ascii="Arial" w:hAnsi="Arial" w:cs="Arial"/>
          <w:sz w:val="24"/>
          <w:szCs w:val="24"/>
        </w:rPr>
        <w:t>Fuel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oil</w:t>
      </w:r>
      <w:proofErr w:type="spellEnd"/>
      <w:r>
        <w:rPr>
          <w:rFonts w:ascii="Arial" w:hAnsi="Arial" w:cs="Arial"/>
          <w:sz w:val="24"/>
          <w:szCs w:val="24"/>
        </w:rPr>
        <w:t xml:space="preserve"> evsel ısıtmalarda ve elektrik üretiminde kullanılmaktadır. Ana petrol </w:t>
      </w:r>
      <w:proofErr w:type="gramStart"/>
      <w:r>
        <w:rPr>
          <w:rFonts w:ascii="Arial" w:hAnsi="Arial" w:cs="Arial"/>
          <w:sz w:val="24"/>
          <w:szCs w:val="24"/>
        </w:rPr>
        <w:t>fraksiyonu</w:t>
      </w:r>
      <w:proofErr w:type="gramEnd"/>
      <w:r>
        <w:rPr>
          <w:rFonts w:ascii="Arial" w:hAnsi="Arial" w:cs="Arial"/>
          <w:sz w:val="24"/>
          <w:szCs w:val="24"/>
        </w:rPr>
        <w:t xml:space="preserve"> olan benzin ise içten yanmalı motorlu taşıtlarda çok kullanılmaktadır.</w:t>
      </w:r>
      <w:r w:rsidR="0003526B">
        <w:rPr>
          <w:rFonts w:ascii="Arial" w:hAnsi="Arial" w:cs="Arial"/>
          <w:sz w:val="24"/>
          <w:szCs w:val="24"/>
        </w:rPr>
        <w:t xml:space="preserve"> Organik yapıdaki kimyasal maddelerin üretiminde ana kaynak petroldür. Ham petroldeki bazı kirletici maddeler uzaklaştırılabilse de petrol </w:t>
      </w:r>
      <w:proofErr w:type="gramStart"/>
      <w:r w:rsidR="0003526B">
        <w:rPr>
          <w:rFonts w:ascii="Arial" w:hAnsi="Arial" w:cs="Arial"/>
          <w:sz w:val="24"/>
          <w:szCs w:val="24"/>
        </w:rPr>
        <w:t>fraksiyonları</w:t>
      </w:r>
      <w:proofErr w:type="gramEnd"/>
      <w:r w:rsidR="0003526B">
        <w:rPr>
          <w:rFonts w:ascii="Arial" w:hAnsi="Arial" w:cs="Arial"/>
          <w:sz w:val="24"/>
          <w:szCs w:val="24"/>
        </w:rPr>
        <w:t xml:space="preserve"> doğal gaza oranla daha fazla çevre kirliliğine neden olmaktadır.</w:t>
      </w:r>
    </w:p>
    <w:p w:rsidR="0003526B" w:rsidRDefault="0003526B" w:rsidP="00717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ABD’deki petrol yataklarında bulunan ham petrol hızla tüketilmektedir. Denizden de ham petrol çıkarmak mümkün olmakla birlikte karadan sondajla ham petrol çıkarılmasına göre oldukça pahalıya mal olmaktadır.</w:t>
      </w:r>
    </w:p>
    <w:p w:rsidR="00082282" w:rsidRDefault="00082282" w:rsidP="00717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Gelişmiş ve gelişmekte olan ülkelerin çoğunluğu politik olarak oldukça kararsız olan Ortadoğu ülkelerinin petrolüne bağımlıdır.</w:t>
      </w:r>
    </w:p>
    <w:p w:rsidR="0003526B" w:rsidRDefault="0003526B" w:rsidP="0071737C">
      <w:pPr>
        <w:jc w:val="both"/>
        <w:rPr>
          <w:rFonts w:ascii="Arial" w:hAnsi="Arial" w:cs="Arial"/>
          <w:sz w:val="24"/>
          <w:szCs w:val="24"/>
        </w:rPr>
      </w:pPr>
    </w:p>
    <w:p w:rsidR="004176FA" w:rsidRDefault="004176FA" w:rsidP="0071737C">
      <w:pPr>
        <w:jc w:val="both"/>
        <w:rPr>
          <w:rFonts w:ascii="Arial" w:hAnsi="Arial" w:cs="Arial"/>
          <w:sz w:val="24"/>
          <w:szCs w:val="24"/>
        </w:rPr>
      </w:pPr>
      <w:r w:rsidRPr="004176FA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>
            <wp:extent cx="5760720" cy="4604589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F9" w:rsidRDefault="009F04F9" w:rsidP="0071737C">
      <w:pPr>
        <w:jc w:val="both"/>
        <w:rPr>
          <w:rFonts w:ascii="Arial" w:hAnsi="Arial" w:cs="Arial"/>
          <w:sz w:val="24"/>
          <w:szCs w:val="24"/>
        </w:rPr>
      </w:pPr>
    </w:p>
    <w:p w:rsidR="009F04F9" w:rsidRDefault="009F04F9" w:rsidP="0071737C">
      <w:pPr>
        <w:jc w:val="both"/>
        <w:rPr>
          <w:rFonts w:ascii="Arial" w:hAnsi="Arial" w:cs="Arial"/>
          <w:sz w:val="24"/>
          <w:szCs w:val="24"/>
        </w:rPr>
      </w:pPr>
      <w:r w:rsidRPr="009F04F9">
        <w:rPr>
          <w:rFonts w:ascii="Arial" w:hAnsi="Arial" w:cs="Arial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3462950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67" w:rsidRDefault="00E81567" w:rsidP="00E815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Dünya Enerji Konseyi Türk Milli Komitesi • Enerji Raporu 2013</w:t>
      </w:r>
    </w:p>
    <w:p w:rsidR="00AD1D20" w:rsidRDefault="00AD1D20" w:rsidP="00E815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</w:p>
    <w:p w:rsidR="00AD1D20" w:rsidRPr="00FA5CB2" w:rsidRDefault="00AD1D20" w:rsidP="00AD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FA5CB2">
        <w:rPr>
          <w:rFonts w:ascii="Arial" w:hAnsi="Arial" w:cs="Arial"/>
          <w:iCs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760720" cy="3121988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D20" w:rsidRDefault="00AD1D20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r>
        <w:rPr>
          <w:rFonts w:ascii="Arial,Italic" w:hAnsi="Arial,Italic" w:cs="Arial,Italic"/>
          <w:i/>
          <w:iCs/>
          <w:sz w:val="16"/>
          <w:szCs w:val="16"/>
        </w:rPr>
        <w:t xml:space="preserve">Kaynak: BP Statistical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</w:rPr>
        <w:t>Review</w:t>
      </w:r>
      <w:proofErr w:type="spellEnd"/>
      <w:r>
        <w:rPr>
          <w:rFonts w:ascii="Arial,Italic" w:hAnsi="Arial,Italic" w:cs="Arial,Italic"/>
          <w:i/>
          <w:iCs/>
          <w:sz w:val="16"/>
          <w:szCs w:val="16"/>
        </w:rPr>
        <w:t xml:space="preserve"> of World </w:t>
      </w:r>
      <w:proofErr w:type="spellStart"/>
      <w:proofErr w:type="gramStart"/>
      <w:r>
        <w:rPr>
          <w:rFonts w:ascii="Arial,Italic" w:hAnsi="Arial,Italic" w:cs="Arial,Italic"/>
          <w:i/>
          <w:iCs/>
          <w:sz w:val="16"/>
          <w:szCs w:val="16"/>
        </w:rPr>
        <w:t>Energy,June</w:t>
      </w:r>
      <w:proofErr w:type="spellEnd"/>
      <w:proofErr w:type="gramEnd"/>
      <w:r>
        <w:rPr>
          <w:rFonts w:ascii="Arial,Italic" w:hAnsi="Arial,Italic" w:cs="Arial,Italic"/>
          <w:i/>
          <w:iCs/>
          <w:sz w:val="16"/>
          <w:szCs w:val="16"/>
        </w:rPr>
        <w:t xml:space="preserve"> 2013</w:t>
      </w:r>
    </w:p>
    <w:p w:rsidR="00FA5CB2" w:rsidRDefault="00FA5CB2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</w:p>
    <w:p w:rsidR="00FA5CB2" w:rsidRDefault="00FA5CB2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</w:p>
    <w:p w:rsidR="00FA5CB2" w:rsidRDefault="00FA5CB2" w:rsidP="00AD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FA5CB2">
        <w:rPr>
          <w:rFonts w:ascii="Arial" w:hAnsi="Arial" w:cs="Arial"/>
          <w:b/>
          <w:i/>
          <w:iCs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5760720" cy="3467171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CB2" w:rsidRDefault="00FA5CB2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r>
        <w:rPr>
          <w:rFonts w:ascii="Arial,Italic" w:hAnsi="Arial,Italic" w:cs="Arial,Italic"/>
          <w:i/>
          <w:iCs/>
          <w:sz w:val="16"/>
          <w:szCs w:val="16"/>
        </w:rPr>
        <w:t xml:space="preserve">Kaynak: BP Statistical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</w:rPr>
        <w:t>Review</w:t>
      </w:r>
      <w:proofErr w:type="spellEnd"/>
      <w:r>
        <w:rPr>
          <w:rFonts w:ascii="Arial,Italic" w:hAnsi="Arial,Italic" w:cs="Arial,Italic"/>
          <w:i/>
          <w:iCs/>
          <w:sz w:val="16"/>
          <w:szCs w:val="16"/>
        </w:rPr>
        <w:t xml:space="preserve"> of World </w:t>
      </w:r>
      <w:proofErr w:type="spellStart"/>
      <w:proofErr w:type="gramStart"/>
      <w:r>
        <w:rPr>
          <w:rFonts w:ascii="Arial,Italic" w:hAnsi="Arial,Italic" w:cs="Arial,Italic"/>
          <w:i/>
          <w:iCs/>
          <w:sz w:val="16"/>
          <w:szCs w:val="16"/>
        </w:rPr>
        <w:t>Energy,June</w:t>
      </w:r>
      <w:proofErr w:type="spellEnd"/>
      <w:proofErr w:type="gramEnd"/>
      <w:r>
        <w:rPr>
          <w:rFonts w:ascii="Arial,Italic" w:hAnsi="Arial,Italic" w:cs="Arial,Italic"/>
          <w:i/>
          <w:iCs/>
          <w:sz w:val="16"/>
          <w:szCs w:val="16"/>
        </w:rPr>
        <w:t xml:space="preserve"> 2013</w:t>
      </w:r>
    </w:p>
    <w:p w:rsidR="005107E9" w:rsidRDefault="005107E9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</w:p>
    <w:p w:rsidR="005107E9" w:rsidRDefault="005107E9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</w:p>
    <w:p w:rsidR="005107E9" w:rsidRDefault="005107E9" w:rsidP="00AD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5107E9">
        <w:rPr>
          <w:rFonts w:ascii="Arial" w:hAnsi="Arial" w:cs="Arial"/>
          <w:b/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760720" cy="3459500"/>
            <wp:effectExtent l="0" t="0" r="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79" w:rsidRDefault="00901679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r>
        <w:rPr>
          <w:rFonts w:ascii="Arial,Italic" w:hAnsi="Arial,Italic" w:cs="Arial,Italic"/>
          <w:i/>
          <w:iCs/>
          <w:sz w:val="16"/>
          <w:szCs w:val="16"/>
        </w:rPr>
        <w:t xml:space="preserve">Kaynak: BP Statistical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</w:rPr>
        <w:t>Review</w:t>
      </w:r>
      <w:proofErr w:type="spellEnd"/>
      <w:r>
        <w:rPr>
          <w:rFonts w:ascii="Arial,Italic" w:hAnsi="Arial,Italic" w:cs="Arial,Italic"/>
          <w:i/>
          <w:iCs/>
          <w:sz w:val="16"/>
          <w:szCs w:val="16"/>
        </w:rPr>
        <w:t xml:space="preserve"> of World </w:t>
      </w:r>
      <w:proofErr w:type="spellStart"/>
      <w:proofErr w:type="gramStart"/>
      <w:r>
        <w:rPr>
          <w:rFonts w:ascii="Arial,Italic" w:hAnsi="Arial,Italic" w:cs="Arial,Italic"/>
          <w:i/>
          <w:iCs/>
          <w:sz w:val="16"/>
          <w:szCs w:val="16"/>
        </w:rPr>
        <w:t>Energy,June</w:t>
      </w:r>
      <w:proofErr w:type="spellEnd"/>
      <w:proofErr w:type="gramEnd"/>
      <w:r>
        <w:rPr>
          <w:rFonts w:ascii="Arial,Italic" w:hAnsi="Arial,Italic" w:cs="Arial,Italic"/>
          <w:i/>
          <w:iCs/>
          <w:sz w:val="16"/>
          <w:szCs w:val="16"/>
        </w:rPr>
        <w:t xml:space="preserve"> 2013</w:t>
      </w:r>
    </w:p>
    <w:p w:rsidR="00CF61EF" w:rsidRDefault="00CF61EF" w:rsidP="00AD1D2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bookmarkStart w:id="0" w:name="_GoBack"/>
      <w:bookmarkEnd w:id="0"/>
    </w:p>
    <w:p w:rsidR="00CF61EF" w:rsidRDefault="00CF61EF" w:rsidP="00AD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CF61EF">
        <w:rPr>
          <w:rFonts w:ascii="Arial" w:hAnsi="Arial" w:cs="Arial"/>
          <w:b/>
          <w:i/>
          <w:iCs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5760720" cy="183328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EF" w:rsidRDefault="00CF61EF" w:rsidP="00CF61EF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r>
        <w:rPr>
          <w:rFonts w:ascii="Arial,Italic" w:hAnsi="Arial,Italic" w:cs="Arial,Italic"/>
          <w:i/>
          <w:iCs/>
          <w:sz w:val="16"/>
          <w:szCs w:val="16"/>
        </w:rPr>
        <w:t xml:space="preserve">Kaynak: BP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</w:rPr>
        <w:t>Energy</w:t>
      </w:r>
      <w:proofErr w:type="spellEnd"/>
      <w:r>
        <w:rPr>
          <w:rFonts w:ascii="Arial,Italic" w:hAnsi="Arial,Italic" w:cs="Arial,Italic"/>
          <w:i/>
          <w:iCs/>
          <w:sz w:val="16"/>
          <w:szCs w:val="16"/>
        </w:rPr>
        <w:t xml:space="preserve"> Outlook 2030, Ocak 2013</w:t>
      </w:r>
    </w:p>
    <w:p w:rsidR="00AE0516" w:rsidRDefault="00AE0516" w:rsidP="00CF61EF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</w:p>
    <w:p w:rsidR="00AE0516" w:rsidRPr="00AE0516" w:rsidRDefault="00AE0516" w:rsidP="00CF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sectPr w:rsidR="00AE0516" w:rsidRPr="00AE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B7"/>
    <w:rsid w:val="0003526B"/>
    <w:rsid w:val="00082282"/>
    <w:rsid w:val="001162F1"/>
    <w:rsid w:val="0038382F"/>
    <w:rsid w:val="004176FA"/>
    <w:rsid w:val="004430DA"/>
    <w:rsid w:val="005107E9"/>
    <w:rsid w:val="006862B8"/>
    <w:rsid w:val="0069475F"/>
    <w:rsid w:val="006D25B7"/>
    <w:rsid w:val="006D3F0D"/>
    <w:rsid w:val="0071737C"/>
    <w:rsid w:val="00771D9A"/>
    <w:rsid w:val="00901679"/>
    <w:rsid w:val="009F04F9"/>
    <w:rsid w:val="00AD1D20"/>
    <w:rsid w:val="00AE0516"/>
    <w:rsid w:val="00B0202F"/>
    <w:rsid w:val="00B228F9"/>
    <w:rsid w:val="00BD49F3"/>
    <w:rsid w:val="00CF61EF"/>
    <w:rsid w:val="00D81124"/>
    <w:rsid w:val="00E81567"/>
    <w:rsid w:val="00ED1701"/>
    <w:rsid w:val="00F420E3"/>
    <w:rsid w:val="00FA1388"/>
    <w:rsid w:val="00F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1686"/>
  <w15:chartTrackingRefBased/>
  <w15:docId w15:val="{B55A40F3-B31A-42DC-B0A1-E4814223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29</cp:revision>
  <dcterms:created xsi:type="dcterms:W3CDTF">2017-11-15T11:00:00Z</dcterms:created>
  <dcterms:modified xsi:type="dcterms:W3CDTF">2017-11-29T06:21:00Z</dcterms:modified>
</cp:coreProperties>
</file>