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47" w:rsidRPr="00B80BDC" w:rsidRDefault="005B0B47" w:rsidP="005B0B47">
      <w:pPr>
        <w:spacing w:after="0" w:line="240" w:lineRule="auto"/>
        <w:ind w:left="567" w:hanging="567"/>
        <w:jc w:val="center"/>
        <w:rPr>
          <w:rFonts w:ascii="Times New Roman" w:eastAsia="Times New Roman" w:hAnsi="Times New Roman" w:cs="Times New Roman"/>
          <w:b/>
          <w:lang w:eastAsia="tr-TR"/>
        </w:rPr>
      </w:pPr>
      <w:bookmarkStart w:id="0" w:name="_Toc284499716"/>
      <w:bookmarkStart w:id="1" w:name="_Toc284499977"/>
      <w:bookmarkStart w:id="2" w:name="_Toc284500237"/>
      <w:bookmarkStart w:id="3" w:name="_Toc284500487"/>
      <w:bookmarkStart w:id="4" w:name="_Toc284579265"/>
      <w:bookmarkStart w:id="5" w:name="_Toc285554216"/>
      <w:r w:rsidRPr="00B80BDC">
        <w:rPr>
          <w:rFonts w:ascii="Times New Roman" w:eastAsia="Times New Roman" w:hAnsi="Times New Roman" w:cs="Times New Roman"/>
          <w:b/>
          <w:lang w:eastAsia="tr-TR"/>
        </w:rPr>
        <w:t>ANKARA ÜNİVERSİTESİ TÜRK İNKILAP TARİHİ ENSTİTÜSÜ</w:t>
      </w:r>
    </w:p>
    <w:p w:rsidR="005B0B47" w:rsidRPr="00B80BDC" w:rsidRDefault="005B0B47" w:rsidP="005B0B47">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5B0B47" w:rsidRDefault="005B0B47" w:rsidP="005B0B47">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374EF2" w:rsidRPr="00B80BDC" w:rsidTr="006D34F4">
        <w:trPr>
          <w:trHeight w:val="300"/>
        </w:trPr>
        <w:tc>
          <w:tcPr>
            <w:tcW w:w="140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74EF2" w:rsidRPr="00B80BDC" w:rsidRDefault="00374EF2" w:rsidP="006D34F4">
            <w:pPr>
              <w:spacing w:after="0" w:line="240" w:lineRule="auto"/>
              <w:jc w:val="center"/>
              <w:rPr>
                <w:rFonts w:ascii="Times New Roman" w:eastAsia="Times New Roman" w:hAnsi="Times New Roman" w:cs="Times New Roman"/>
                <w:b/>
                <w:color w:val="FF0000"/>
                <w:lang w:eastAsia="tr-TR"/>
              </w:rPr>
            </w:pPr>
            <w:bookmarkStart w:id="6" w:name="_GoBack"/>
            <w:bookmarkEnd w:id="6"/>
            <w:r>
              <w:rPr>
                <w:rFonts w:ascii="Times New Roman" w:eastAsia="Times New Roman" w:hAnsi="Times New Roman" w:cs="Times New Roman"/>
                <w:b/>
                <w:color w:val="FF0000"/>
                <w:lang w:eastAsia="tr-TR"/>
              </w:rPr>
              <w:t>9</w:t>
            </w:r>
          </w:p>
        </w:tc>
        <w:tc>
          <w:tcPr>
            <w:tcW w:w="7513" w:type="dxa"/>
            <w:tcBorders>
              <w:top w:val="single" w:sz="4" w:space="0" w:color="auto"/>
              <w:left w:val="single" w:sz="4" w:space="0" w:color="auto"/>
              <w:bottom w:val="single" w:sz="4" w:space="0" w:color="000000"/>
              <w:right w:val="single" w:sz="4" w:space="0" w:color="auto"/>
            </w:tcBorders>
            <w:shd w:val="clear" w:color="000000" w:fill="FFFFFF"/>
            <w:hideMark/>
          </w:tcPr>
          <w:p w:rsidR="00374EF2" w:rsidRPr="00B80BDC" w:rsidRDefault="00374EF2" w:rsidP="006D34F4">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Uluslararası Saat, Takvim, Rakam, Ölçü ve Hafta </w:t>
            </w:r>
            <w:r w:rsidRPr="00B80BDC">
              <w:rPr>
                <w:rFonts w:ascii="Times New Roman" w:eastAsia="Times New Roman" w:hAnsi="Times New Roman" w:cs="Times New Roman"/>
                <w:b/>
                <w:color w:val="FF0000"/>
                <w:lang w:eastAsia="tr-TR"/>
              </w:rPr>
              <w:br/>
            </w:r>
            <w:proofErr w:type="spellStart"/>
            <w:r w:rsidRPr="00B80BDC">
              <w:rPr>
                <w:rFonts w:ascii="Times New Roman" w:eastAsia="Times New Roman" w:hAnsi="Times New Roman" w:cs="Times New Roman"/>
                <w:b/>
                <w:color w:val="FF0000"/>
                <w:lang w:eastAsia="tr-TR"/>
              </w:rPr>
              <w:t>Tatili’nin</w:t>
            </w:r>
            <w:proofErr w:type="spellEnd"/>
            <w:r w:rsidRPr="00B80BDC">
              <w:rPr>
                <w:rFonts w:ascii="Times New Roman" w:eastAsia="Times New Roman" w:hAnsi="Times New Roman" w:cs="Times New Roman"/>
                <w:b/>
                <w:color w:val="FF0000"/>
                <w:lang w:eastAsia="tr-TR"/>
              </w:rPr>
              <w:t xml:space="preserve"> Kabul Edilmesi; Soyadı Kanunu’nun Kabulü; Sağlık Alanındaki </w:t>
            </w:r>
            <w:r w:rsidRPr="00B80BDC">
              <w:rPr>
                <w:rFonts w:ascii="Times New Roman" w:eastAsia="Times New Roman" w:hAnsi="Times New Roman" w:cs="Times New Roman"/>
                <w:b/>
                <w:color w:val="FF0000"/>
                <w:lang w:eastAsia="tr-TR"/>
              </w:rPr>
              <w:br/>
              <w:t>Gelişmeler)</w:t>
            </w:r>
          </w:p>
        </w:tc>
      </w:tr>
    </w:tbl>
    <w:p w:rsidR="00374EF2" w:rsidRPr="00B80BDC" w:rsidRDefault="00374EF2" w:rsidP="00374EF2">
      <w:pPr>
        <w:keepNext/>
        <w:tabs>
          <w:tab w:val="left" w:pos="709"/>
        </w:tabs>
        <w:spacing w:before="240" w:after="120" w:line="240" w:lineRule="auto"/>
        <w:ind w:left="709"/>
        <w:outlineLvl w:val="1"/>
        <w:rPr>
          <w:rFonts w:ascii="Times New Roman" w:eastAsia="Calibri" w:hAnsi="Times New Roman" w:cs="Times New Roman"/>
          <w:b/>
          <w:szCs w:val="20"/>
          <w:lang w:eastAsia="tr-TR"/>
        </w:rPr>
      </w:pPr>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0"/>
      <w:bookmarkEnd w:id="1"/>
      <w:bookmarkEnd w:id="2"/>
      <w:bookmarkEnd w:id="3"/>
      <w:bookmarkEnd w:id="4"/>
      <w:bookmarkEnd w:id="5"/>
    </w:p>
    <w:p w:rsidR="00374EF2" w:rsidRPr="00B80BDC" w:rsidRDefault="00374EF2" w:rsidP="00374EF2">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1"/>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2"/>
      </w:r>
      <w:r w:rsidRPr="00B80BDC">
        <w:rPr>
          <w:rFonts w:ascii="Times New Roman" w:eastAsia="Calibri" w:hAnsi="Times New Roman" w:cs="Times New Roman"/>
          <w:lang w:eastAsia="tr-TR"/>
        </w:rPr>
        <w:t xml:space="preserve"> Bu farklı saat sistemleri, Batı ile Osmanlı Devleti arasında zaman farklılıklarını ve çeşitli sorunları gündeme getirmiştir. Nihayet bu alandaki kargaşaya da Cumhuriyet’in ilanından sonra, 26 Aralık 1925 tarihinde çıkarılan kanun ile son verilmiştir. </w:t>
      </w:r>
    </w:p>
    <w:p w:rsidR="00374EF2" w:rsidRPr="00B80BDC" w:rsidRDefault="00374EF2" w:rsidP="00374EF2">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3"/>
      </w:r>
      <w:r w:rsidRPr="00B80BDC">
        <w:rPr>
          <w:rFonts w:ascii="Times New Roman" w:eastAsia="Calibri" w:hAnsi="Times New Roman" w:cs="Times New Roman"/>
          <w:lang w:eastAsia="tr-TR"/>
        </w:rPr>
        <w:t xml:space="preserve"> 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4"/>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w:t>
      </w:r>
      <w:proofErr w:type="spellStart"/>
      <w:r w:rsidRPr="00B80BDC">
        <w:rPr>
          <w:rFonts w:ascii="Times New Roman" w:eastAsia="Calibri" w:hAnsi="Times New Roman" w:cs="Times New Roman"/>
          <w:lang w:eastAsia="tr-TR"/>
        </w:rPr>
        <w:t>Avrupasının</w:t>
      </w:r>
      <w:proofErr w:type="spellEnd"/>
      <w:r w:rsidRPr="00B80BDC">
        <w:rPr>
          <w:rFonts w:ascii="Times New Roman" w:eastAsia="Calibri" w:hAnsi="Times New Roman" w:cs="Times New Roman"/>
          <w:lang w:eastAsia="tr-TR"/>
        </w:rPr>
        <w:t xml:space="preserve"> kullanmış olduğu ölçüler kabul edilmiştir.</w:t>
      </w:r>
      <w:r w:rsidRPr="00B80BDC">
        <w:rPr>
          <w:rFonts w:ascii="Times New Roman" w:eastAsia="Calibri" w:hAnsi="Times New Roman" w:cs="Times New Roman"/>
          <w:vertAlign w:val="superscript"/>
          <w:lang w:eastAsia="tr-TR"/>
        </w:rPr>
        <w:footnoteReference w:id="5"/>
      </w:r>
      <w:r w:rsidRPr="00B80BDC">
        <w:rPr>
          <w:rFonts w:ascii="Times New Roman" w:eastAsia="Calibri" w:hAnsi="Times New Roman" w:cs="Times New Roman"/>
          <w:lang w:eastAsia="tr-TR"/>
        </w:rPr>
        <w:t xml:space="preserve"> </w:t>
      </w:r>
    </w:p>
    <w:p w:rsidR="00374EF2" w:rsidRPr="00B80BDC" w:rsidRDefault="00374EF2" w:rsidP="00374EF2">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6"/>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374EF2" w:rsidRPr="00B80BDC" w:rsidRDefault="00374EF2" w:rsidP="00374EF2">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717"/>
      <w:bookmarkStart w:id="8" w:name="_Toc284499978"/>
      <w:bookmarkStart w:id="9" w:name="_Toc284500238"/>
      <w:bookmarkStart w:id="10" w:name="_Toc284500488"/>
      <w:bookmarkStart w:id="11" w:name="_Toc284579266"/>
      <w:bookmarkStart w:id="12" w:name="_Toc285554217"/>
      <w:r w:rsidRPr="00B80BDC">
        <w:rPr>
          <w:rFonts w:ascii="Times New Roman" w:eastAsia="Calibri" w:hAnsi="Times New Roman" w:cs="Times New Roman"/>
          <w:b/>
          <w:szCs w:val="20"/>
          <w:lang w:eastAsia="tr-TR"/>
        </w:rPr>
        <w:t>Soyadı Kanunu’nun Kabulü</w:t>
      </w:r>
      <w:bookmarkEnd w:id="7"/>
      <w:bookmarkEnd w:id="8"/>
      <w:bookmarkEnd w:id="9"/>
      <w:bookmarkEnd w:id="10"/>
      <w:bookmarkEnd w:id="11"/>
      <w:bookmarkEnd w:id="12"/>
    </w:p>
    <w:p w:rsidR="00374EF2" w:rsidRPr="00B80BDC" w:rsidRDefault="00374EF2" w:rsidP="00374EF2">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374EF2" w:rsidRPr="00B80BDC" w:rsidRDefault="00374EF2" w:rsidP="00374EF2">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7"/>
      </w:r>
      <w:r w:rsidRPr="00B80BDC">
        <w:rPr>
          <w:rFonts w:ascii="Times New Roman" w:eastAsia="Calibri" w:hAnsi="Times New Roman" w:cs="Times New Roman"/>
          <w:lang w:eastAsia="tr-TR"/>
        </w:rPr>
        <w:t xml:space="preserve"> Bu kanunla her Türk vatandaşının öz adından başka soyadı taşıması zorunlu hale getirilmiş </w:t>
      </w:r>
      <w:r w:rsidRPr="00B80BDC">
        <w:rPr>
          <w:rFonts w:ascii="Times New Roman" w:eastAsia="Calibri" w:hAnsi="Times New Roman" w:cs="Times New Roman"/>
          <w:lang w:eastAsia="tr-TR"/>
        </w:rPr>
        <w:lastRenderedPageBreak/>
        <w:t>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8"/>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9"/>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374EF2" w:rsidRPr="00B80BDC" w:rsidRDefault="00374EF2" w:rsidP="00374EF2">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374EF2" w:rsidRDefault="00374EF2" w:rsidP="00374EF2">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10"/>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yapılmıştır.</w:t>
      </w:r>
      <w:r w:rsidRPr="00B80BDC">
        <w:rPr>
          <w:rFonts w:ascii="Times New Roman" w:eastAsia="Times New Roman" w:hAnsi="Times New Roman" w:cs="Times New Roman"/>
          <w:bCs/>
          <w:vertAlign w:val="superscript"/>
          <w:lang w:eastAsia="tr-TR"/>
        </w:rPr>
        <w:footnoteReference w:id="11"/>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A04EC4" w:rsidRPr="005A389A" w:rsidRDefault="009F6A78" w:rsidP="005A389A">
      <w:r w:rsidRPr="005A389A">
        <w:t xml:space="preserve"> </w:t>
      </w:r>
    </w:p>
    <w:sectPr w:rsidR="00A04EC4" w:rsidRPr="005A3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F4" w:rsidRDefault="00D24DF4" w:rsidP="009F6A78">
      <w:pPr>
        <w:spacing w:after="0" w:line="240" w:lineRule="auto"/>
      </w:pPr>
      <w:r>
        <w:separator/>
      </w:r>
    </w:p>
  </w:endnote>
  <w:endnote w:type="continuationSeparator" w:id="0">
    <w:p w:rsidR="00D24DF4" w:rsidRDefault="00D24DF4" w:rsidP="009F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F4" w:rsidRDefault="00D24DF4" w:rsidP="009F6A78">
      <w:pPr>
        <w:spacing w:after="0" w:line="240" w:lineRule="auto"/>
      </w:pPr>
      <w:r>
        <w:separator/>
      </w:r>
    </w:p>
  </w:footnote>
  <w:footnote w:type="continuationSeparator" w:id="0">
    <w:p w:rsidR="00D24DF4" w:rsidRDefault="00D24DF4" w:rsidP="009F6A78">
      <w:pPr>
        <w:spacing w:after="0" w:line="240" w:lineRule="auto"/>
      </w:pPr>
      <w:r>
        <w:continuationSeparator/>
      </w:r>
    </w:p>
  </w:footnote>
  <w:footnote w:id="1">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proofErr w:type="spellStart"/>
      <w:r w:rsidRPr="00FB7208">
        <w:rPr>
          <w:b/>
          <w:iCs/>
          <w:sz w:val="18"/>
          <w:szCs w:val="18"/>
        </w:rPr>
        <w:t>a.g.e</w:t>
      </w:r>
      <w:proofErr w:type="spellEnd"/>
      <w:r w:rsidRPr="00FB7208">
        <w:rPr>
          <w:b/>
          <w:iCs/>
          <w:sz w:val="18"/>
          <w:szCs w:val="18"/>
        </w:rPr>
        <w:t>.</w:t>
      </w:r>
      <w:r w:rsidRPr="00FB7208">
        <w:rPr>
          <w:sz w:val="18"/>
          <w:szCs w:val="18"/>
        </w:rPr>
        <w:t>, s. 289.</w:t>
      </w:r>
    </w:p>
  </w:footnote>
  <w:footnote w:id="2">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Türk Devrim Tarihi</w:t>
      </w:r>
      <w:r w:rsidRPr="00FB7208">
        <w:rPr>
          <w:sz w:val="18"/>
          <w:szCs w:val="18"/>
        </w:rPr>
        <w:t>, 3. Kitap, s. 194.</w:t>
      </w:r>
    </w:p>
  </w:footnote>
  <w:footnote w:id="3">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Sıtkı Yalçın ve İsmet </w:t>
      </w:r>
      <w:proofErr w:type="spellStart"/>
      <w:r w:rsidRPr="00FB7208">
        <w:rPr>
          <w:sz w:val="18"/>
          <w:szCs w:val="18"/>
        </w:rPr>
        <w:t>Gönülal</w:t>
      </w:r>
      <w:proofErr w:type="spellEnd"/>
      <w:r w:rsidRPr="00FB7208">
        <w:rPr>
          <w:sz w:val="18"/>
          <w:szCs w:val="18"/>
        </w:rPr>
        <w:t xml:space="preserve">,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4">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5">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VII, Cihan Matbaası, İstanbul, 1926, s. 64.</w:t>
      </w:r>
    </w:p>
  </w:footnote>
  <w:footnote w:id="6">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Gözler, </w:t>
      </w:r>
      <w:proofErr w:type="spellStart"/>
      <w:r w:rsidRPr="00FB7208">
        <w:rPr>
          <w:b/>
          <w:iCs/>
          <w:sz w:val="18"/>
          <w:szCs w:val="18"/>
        </w:rPr>
        <w:t>a.g.e</w:t>
      </w:r>
      <w:proofErr w:type="spellEnd"/>
      <w:r w:rsidRPr="00FB7208">
        <w:rPr>
          <w:b/>
          <w:iCs/>
          <w:sz w:val="18"/>
          <w:szCs w:val="18"/>
        </w:rPr>
        <w:t>.</w:t>
      </w:r>
      <w:r w:rsidRPr="00FB7208">
        <w:rPr>
          <w:sz w:val="18"/>
          <w:szCs w:val="18"/>
        </w:rPr>
        <w:t xml:space="preserve">, s. 147;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I, Cihan Matbaası, İstanbul,  1926, s. 393.</w:t>
      </w:r>
    </w:p>
  </w:footnote>
  <w:footnote w:id="7">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w:t>
      </w:r>
      <w:proofErr w:type="spellStart"/>
      <w:r w:rsidRPr="00FB7208">
        <w:rPr>
          <w:b/>
          <w:sz w:val="18"/>
          <w:szCs w:val="18"/>
        </w:rPr>
        <w:t>Kebikeç</w:t>
      </w:r>
      <w:proofErr w:type="spellEnd"/>
      <w:r w:rsidRPr="00FB7208">
        <w:rPr>
          <w:b/>
          <w:sz w:val="18"/>
          <w:szCs w:val="18"/>
        </w:rPr>
        <w:t>-İnsan Bilimleri İçin Kaynak Araştırmaları Dergisi</w:t>
      </w:r>
      <w:r w:rsidRPr="00FB7208">
        <w:rPr>
          <w:sz w:val="18"/>
          <w:szCs w:val="18"/>
        </w:rPr>
        <w:t>, S. 10, 2000, s. 255–272.</w:t>
      </w:r>
    </w:p>
  </w:footnote>
  <w:footnote w:id="8">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Turhan </w:t>
      </w:r>
      <w:proofErr w:type="spellStart"/>
      <w:r w:rsidRPr="00FB7208">
        <w:rPr>
          <w:sz w:val="18"/>
          <w:szCs w:val="18"/>
        </w:rPr>
        <w:t>Aytul</w:t>
      </w:r>
      <w:proofErr w:type="spellEnd"/>
      <w:r w:rsidRPr="00FB7208">
        <w:rPr>
          <w:sz w:val="18"/>
          <w:szCs w:val="18"/>
        </w:rPr>
        <w:t xml:space="preserve">,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9">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iCs/>
          <w:sz w:val="18"/>
          <w:szCs w:val="18"/>
        </w:rPr>
        <w:t>Olcaytu</w:t>
      </w:r>
      <w:r w:rsidRPr="00FB7208">
        <w:rPr>
          <w:i/>
          <w:iCs/>
          <w:sz w:val="18"/>
          <w:szCs w:val="18"/>
        </w:rPr>
        <w:t>,</w:t>
      </w:r>
      <w:r w:rsidRPr="00FB7208">
        <w:rPr>
          <w:b/>
          <w:iCs/>
          <w:sz w:val="18"/>
          <w:szCs w:val="18"/>
        </w:rPr>
        <w:t>a.g.e</w:t>
      </w:r>
      <w:proofErr w:type="spellEnd"/>
      <w:r w:rsidRPr="00FB7208">
        <w:rPr>
          <w:b/>
          <w:i/>
          <w:iCs/>
          <w:sz w:val="18"/>
          <w:szCs w:val="18"/>
        </w:rPr>
        <w:t>.,</w:t>
      </w:r>
      <w:r w:rsidRPr="00FB7208">
        <w:rPr>
          <w:sz w:val="18"/>
          <w:szCs w:val="18"/>
        </w:rPr>
        <w:t xml:space="preserve"> s. 81-82.</w:t>
      </w:r>
    </w:p>
  </w:footnote>
  <w:footnote w:id="10">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11">
    <w:p w:rsidR="00374EF2" w:rsidRPr="00FB7208" w:rsidRDefault="00374EF2" w:rsidP="00374EF2">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w:t>
      </w:r>
      <w:proofErr w:type="spellStart"/>
      <w:r w:rsidRPr="00FB7208">
        <w:rPr>
          <w:b/>
          <w:bCs/>
          <w:sz w:val="18"/>
          <w:szCs w:val="18"/>
        </w:rPr>
        <w:t>Sıhhıye</w:t>
      </w:r>
      <w:proofErr w:type="spellEnd"/>
      <w:r w:rsidRPr="00FB7208">
        <w:rPr>
          <w:b/>
          <w:bCs/>
          <w:sz w:val="18"/>
          <w:szCs w:val="18"/>
        </w:rPr>
        <w:t xml:space="preserv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w:t>
      </w:r>
      <w:proofErr w:type="spellStart"/>
      <w:r w:rsidRPr="00FB7208">
        <w:rPr>
          <w:sz w:val="18"/>
          <w:szCs w:val="18"/>
        </w:rPr>
        <w:t>İctimaî</w:t>
      </w:r>
      <w:proofErr w:type="spellEnd"/>
      <w:r w:rsidRPr="00FB7208">
        <w:rPr>
          <w:sz w:val="18"/>
          <w:szCs w:val="18"/>
        </w:rPr>
        <w:t xml:space="preserve"> Vekâleti Yay., Ankara, 1942, s. 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D0"/>
    <w:rsid w:val="00165ED0"/>
    <w:rsid w:val="00374EF2"/>
    <w:rsid w:val="005A389A"/>
    <w:rsid w:val="005B0B47"/>
    <w:rsid w:val="005B0C1E"/>
    <w:rsid w:val="00744A06"/>
    <w:rsid w:val="009F6A78"/>
    <w:rsid w:val="00A04EC4"/>
    <w:rsid w:val="00D24DF4"/>
    <w:rsid w:val="00D54155"/>
    <w:rsid w:val="00DA6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914FE-56C1-40CE-83B2-640050A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9F6A7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9F6A78"/>
    <w:rPr>
      <w:sz w:val="20"/>
      <w:szCs w:val="20"/>
    </w:rPr>
  </w:style>
  <w:style w:type="character" w:customStyle="1" w:styleId="DipnotMetniChar1">
    <w:name w:val="Dipnot Metni Char1"/>
    <w:aliases w:val="Char Char"/>
    <w:link w:val="DipnotMetni"/>
    <w:rsid w:val="009F6A78"/>
    <w:rPr>
      <w:rFonts w:ascii="Times New Roman" w:eastAsia="Calibri" w:hAnsi="Times New Roman" w:cs="Times New Roman"/>
      <w:sz w:val="20"/>
      <w:szCs w:val="20"/>
      <w:lang w:val="x-none" w:eastAsia="x-none"/>
    </w:rPr>
  </w:style>
  <w:style w:type="character" w:styleId="DipnotBavurusu">
    <w:name w:val="footnote reference"/>
    <w:uiPriority w:val="99"/>
    <w:qFormat/>
    <w:rsid w:val="009F6A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2017-11-15T19:42:00Z</dcterms:created>
  <dcterms:modified xsi:type="dcterms:W3CDTF">2017-11-15T19:58:00Z</dcterms:modified>
</cp:coreProperties>
</file>