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9D2251" w:rsidRDefault="009D2251" w:rsidP="009D2251">
      <w:pPr>
        <w:jc w:val="center"/>
        <w:rPr>
          <w:b/>
        </w:rPr>
      </w:pPr>
      <w:r w:rsidRPr="009D2251">
        <w:rPr>
          <w:b/>
        </w:rPr>
        <w:t>TRANSPORT TEKNİĞİ</w:t>
      </w:r>
    </w:p>
    <w:p w:rsidR="009D2251" w:rsidRDefault="009D2251"/>
    <w:p w:rsidR="009D2251" w:rsidRDefault="009D2251" w:rsidP="009D2251">
      <w:pPr>
        <w:jc w:val="both"/>
        <w:rPr>
          <w:b/>
        </w:rPr>
      </w:pPr>
      <w:r>
        <w:rPr>
          <w:b/>
        </w:rPr>
        <w:t>6.2.4.  Tahrik düzeni</w:t>
      </w:r>
    </w:p>
    <w:p w:rsidR="009D2251" w:rsidRDefault="009D2251" w:rsidP="009D2251">
      <w:pPr>
        <w:jc w:val="both"/>
        <w:rPr>
          <w:b/>
        </w:rPr>
      </w:pPr>
    </w:p>
    <w:p w:rsidR="009D2251" w:rsidRDefault="009D2251" w:rsidP="009D2251">
      <w:pPr>
        <w:jc w:val="both"/>
      </w:pPr>
      <w:r>
        <w:t>Bantlı götürücüler, boşta çalışırken tahrik düzeninin aşağıdaki kayıpları karşılaması istenir.</w:t>
      </w:r>
    </w:p>
    <w:p w:rsidR="009D2251" w:rsidRDefault="009D2251" w:rsidP="009D2251">
      <w:pPr>
        <w:jc w:val="both"/>
      </w:pPr>
      <w:bookmarkStart w:id="0" w:name="_GoBack"/>
      <w:bookmarkEnd w:id="0"/>
    </w:p>
    <w:p w:rsidR="009D2251" w:rsidRDefault="009D2251" w:rsidP="009D2251">
      <w:pPr>
        <w:numPr>
          <w:ilvl w:val="0"/>
          <w:numId w:val="1"/>
        </w:numPr>
        <w:jc w:val="both"/>
      </w:pPr>
      <w:r>
        <w:t>Tambur ve makaralardaki sürtünme kayıpları</w:t>
      </w:r>
    </w:p>
    <w:p w:rsidR="009D2251" w:rsidRDefault="009D2251" w:rsidP="009D2251">
      <w:pPr>
        <w:numPr>
          <w:ilvl w:val="0"/>
          <w:numId w:val="1"/>
        </w:numPr>
        <w:jc w:val="both"/>
      </w:pPr>
      <w:r>
        <w:t xml:space="preserve">Bandın </w:t>
      </w:r>
      <w:proofErr w:type="spellStart"/>
      <w:r>
        <w:t>oluklaşması</w:t>
      </w:r>
      <w:proofErr w:type="spellEnd"/>
      <w:r>
        <w:t>, tambur ve makaralara sarılması durumunda sürekli olarak meydana gelen şekil değişikliklerinin oluşturduğu kayıplar</w:t>
      </w:r>
    </w:p>
    <w:p w:rsidR="009D2251" w:rsidRDefault="009D2251" w:rsidP="009D2251">
      <w:pPr>
        <w:numPr>
          <w:ilvl w:val="0"/>
          <w:numId w:val="1"/>
        </w:numPr>
        <w:jc w:val="both"/>
      </w:pPr>
      <w:r>
        <w:t>Tahrik ve makaraların çeşitli imalat, montaj işletme ve bakım hatalarından dolayı artan sürtünme kayıpları</w:t>
      </w:r>
    </w:p>
    <w:p w:rsidR="009D2251" w:rsidRDefault="009D2251" w:rsidP="009D2251">
      <w:pPr>
        <w:numPr>
          <w:ilvl w:val="0"/>
          <w:numId w:val="1"/>
        </w:numPr>
        <w:jc w:val="both"/>
      </w:pPr>
      <w:r>
        <w:t>Bandın, götürücünün sabit kısımlarına sürtünmesinden ileri gelen kayıplar.</w:t>
      </w:r>
    </w:p>
    <w:p w:rsidR="009D2251" w:rsidRDefault="009D2251" w:rsidP="009D2251">
      <w:pPr>
        <w:jc w:val="both"/>
      </w:pPr>
    </w:p>
    <w:p w:rsidR="009D2251" w:rsidRDefault="009D2251" w:rsidP="009D2251">
      <w:pPr>
        <w:jc w:val="both"/>
      </w:pPr>
      <w:r>
        <w:t>Boşta çalışan götürücünün tahriki için gerekli güç;</w:t>
      </w:r>
    </w:p>
    <w:p w:rsidR="009D2251" w:rsidRDefault="009D2251" w:rsidP="009D2251">
      <w:pPr>
        <w:jc w:val="both"/>
      </w:pPr>
    </w:p>
    <w:p w:rsidR="009D2251" w:rsidRDefault="009D2251" w:rsidP="009D2251">
      <w:pPr>
        <w:jc w:val="both"/>
      </w:pPr>
      <w:r>
        <w:t>N</w:t>
      </w:r>
      <w:r>
        <w:rPr>
          <w:vertAlign w:val="subscript"/>
        </w:rPr>
        <w:t xml:space="preserve">1 </w:t>
      </w:r>
      <w:r>
        <w:t xml:space="preserve">= </w:t>
      </w:r>
      <w:proofErr w:type="gramStart"/>
      <w:r>
        <w:t>(</w:t>
      </w:r>
      <w:proofErr w:type="gramEnd"/>
      <w:r>
        <w:t>f</w:t>
      </w:r>
      <w:r>
        <w:rPr>
          <w:vertAlign w:val="subscript"/>
        </w:rPr>
        <w:t>1</w:t>
      </w:r>
      <w:r>
        <w:t>. G</w:t>
      </w:r>
      <w:r>
        <w:rPr>
          <w:vertAlign w:val="subscript"/>
        </w:rPr>
        <w:t xml:space="preserve">1. </w:t>
      </w:r>
      <w:proofErr w:type="spellStart"/>
      <w:proofErr w:type="gramStart"/>
      <w:r>
        <w:t>L</w:t>
      </w:r>
      <w:r>
        <w:rPr>
          <w:vertAlign w:val="subscript"/>
        </w:rPr>
        <w:t>eş</w:t>
      </w:r>
      <w:r>
        <w:t>.v</w:t>
      </w:r>
      <w:proofErr w:type="spellEnd"/>
      <w:proofErr w:type="gramEnd"/>
      <w:r>
        <w:t>) / 75   (BG)</w:t>
      </w:r>
    </w:p>
    <w:p w:rsidR="009D2251" w:rsidRDefault="009D2251" w:rsidP="009D2251">
      <w:pPr>
        <w:jc w:val="both"/>
      </w:pPr>
    </w:p>
    <w:p w:rsidR="009D2251" w:rsidRDefault="009D2251" w:rsidP="009D2251">
      <w:pPr>
        <w:jc w:val="both"/>
      </w:pPr>
      <w:r>
        <w:t xml:space="preserve">Bu </w:t>
      </w:r>
      <w:proofErr w:type="gramStart"/>
      <w:r>
        <w:t>eşitlikte ;</w:t>
      </w:r>
      <w:proofErr w:type="gramEnd"/>
    </w:p>
    <w:p w:rsidR="009D2251" w:rsidRDefault="009D2251" w:rsidP="009D2251">
      <w:pPr>
        <w:jc w:val="both"/>
      </w:pPr>
    </w:p>
    <w:p w:rsidR="009D2251" w:rsidRDefault="009D2251" w:rsidP="009D2251">
      <w:pPr>
        <w:jc w:val="both"/>
      </w:pPr>
      <w:proofErr w:type="gramStart"/>
      <w:r>
        <w:t>f</w:t>
      </w:r>
      <w:r>
        <w:rPr>
          <w:vertAlign w:val="subscript"/>
        </w:rPr>
        <w:t>1</w:t>
      </w:r>
      <w:r>
        <w:t xml:space="preserve">  : Sürtünme</w:t>
      </w:r>
      <w:proofErr w:type="gramEnd"/>
      <w:r>
        <w:t xml:space="preserve"> katsayısı (0,015…0,04)</w:t>
      </w:r>
    </w:p>
    <w:p w:rsidR="009D2251" w:rsidRDefault="009D2251" w:rsidP="009D2251">
      <w:pPr>
        <w:jc w:val="both"/>
      </w:pPr>
      <w:r>
        <w:t>L</w:t>
      </w:r>
      <w:r>
        <w:rPr>
          <w:vertAlign w:val="subscript"/>
        </w:rPr>
        <w:t>eş</w:t>
      </w:r>
      <w:r>
        <w:t xml:space="preserve">: Eşdeğer götürücü boyu </w:t>
      </w:r>
    </w:p>
    <w:p w:rsidR="009D2251" w:rsidRDefault="009D2251" w:rsidP="009D2251">
      <w:pPr>
        <w:jc w:val="both"/>
      </w:pPr>
    </w:p>
    <w:p w:rsidR="009D2251" w:rsidRDefault="009D2251" w:rsidP="009D2251">
      <w:pPr>
        <w:jc w:val="both"/>
      </w:pPr>
      <w:r>
        <w:t>Götürücü boyu L ise, eşdeğer götürücü boyu;</w:t>
      </w:r>
    </w:p>
    <w:p w:rsidR="009D2251" w:rsidRDefault="009D2251" w:rsidP="009D2251">
      <w:pPr>
        <w:jc w:val="both"/>
      </w:pPr>
    </w:p>
    <w:p w:rsidR="009D2251" w:rsidRDefault="009D2251" w:rsidP="009D2251">
      <w:pPr>
        <w:jc w:val="both"/>
      </w:pPr>
      <w:r>
        <w:t>L</w:t>
      </w:r>
      <w:r>
        <w:rPr>
          <w:vertAlign w:val="subscript"/>
        </w:rPr>
        <w:t>eş</w:t>
      </w:r>
      <w:r>
        <w:t xml:space="preserve"> = L + 45</w:t>
      </w:r>
    </w:p>
    <w:p w:rsidR="009D2251" w:rsidRDefault="009D2251" w:rsidP="009D2251">
      <w:pPr>
        <w:jc w:val="both"/>
      </w:pPr>
      <w:proofErr w:type="gramStart"/>
      <w:r>
        <w:t>v</w:t>
      </w:r>
      <w:proofErr w:type="gramEnd"/>
      <w:r>
        <w:t xml:space="preserve">    = Hız (m/s)</w:t>
      </w:r>
    </w:p>
    <w:p w:rsidR="009D2251" w:rsidRDefault="009D2251" w:rsidP="009D2251">
      <w:pPr>
        <w:jc w:val="both"/>
      </w:pPr>
    </w:p>
    <w:p w:rsidR="009D2251" w:rsidRPr="0043500A" w:rsidRDefault="009D2251" w:rsidP="009D2251">
      <w:pPr>
        <w:jc w:val="both"/>
      </w:pPr>
      <w:proofErr w:type="gramStart"/>
      <w:r>
        <w:t>G</w:t>
      </w:r>
      <w:r>
        <w:rPr>
          <w:vertAlign w:val="subscript"/>
        </w:rPr>
        <w:t xml:space="preserve">1 </w:t>
      </w:r>
      <w:r>
        <w:t>: Bant</w:t>
      </w:r>
      <w:proofErr w:type="gramEnd"/>
      <w:r>
        <w:t xml:space="preserve"> ve hareketli parçaların birim uzunluğuna karşılık gelen ağırlık   (kg/m) </w:t>
      </w:r>
    </w:p>
    <w:p w:rsidR="009D2251" w:rsidRDefault="009D2251" w:rsidP="009D2251">
      <w:pPr>
        <w:jc w:val="both"/>
      </w:pPr>
    </w:p>
    <w:p w:rsidR="009D2251" w:rsidRDefault="009D2251" w:rsidP="009D2251">
      <w:pPr>
        <w:jc w:val="both"/>
      </w:pPr>
      <w:r>
        <w:t>G</w:t>
      </w:r>
      <w:r>
        <w:rPr>
          <w:vertAlign w:val="subscript"/>
        </w:rPr>
        <w:t>1</w:t>
      </w:r>
      <w:r>
        <w:t xml:space="preserve"> = 2.G</w:t>
      </w:r>
      <w:r>
        <w:rPr>
          <w:vertAlign w:val="subscript"/>
        </w:rPr>
        <w:t>B</w:t>
      </w:r>
      <w:r>
        <w:t xml:space="preserve"> + G</w:t>
      </w:r>
      <w:r>
        <w:rPr>
          <w:vertAlign w:val="subscript"/>
        </w:rPr>
        <w:t xml:space="preserve">T </w:t>
      </w:r>
      <w:r>
        <w:t>/ L</w:t>
      </w:r>
      <w:r>
        <w:rPr>
          <w:vertAlign w:val="subscript"/>
        </w:rPr>
        <w:t>T</w:t>
      </w:r>
      <w:r>
        <w:t xml:space="preserve"> + G</w:t>
      </w:r>
      <w:r>
        <w:rPr>
          <w:vertAlign w:val="subscript"/>
        </w:rPr>
        <w:t>D</w:t>
      </w:r>
      <w:r>
        <w:t xml:space="preserve"> / L</w:t>
      </w:r>
      <w:r>
        <w:rPr>
          <w:vertAlign w:val="subscript"/>
        </w:rPr>
        <w:t>D</w:t>
      </w:r>
      <w:r>
        <w:t xml:space="preserve">  </w:t>
      </w:r>
    </w:p>
    <w:p w:rsidR="009D2251" w:rsidRDefault="009D2251" w:rsidP="009D2251">
      <w:pPr>
        <w:jc w:val="both"/>
      </w:pPr>
    </w:p>
    <w:p w:rsidR="009D2251" w:rsidRDefault="009D2251" w:rsidP="009D2251">
      <w:pPr>
        <w:jc w:val="both"/>
      </w:pPr>
      <w:r>
        <w:t>Materyalin yatay olarak taşınması için gerekli güç;</w:t>
      </w:r>
    </w:p>
    <w:p w:rsidR="009D2251" w:rsidRDefault="009D2251" w:rsidP="009D2251">
      <w:pPr>
        <w:jc w:val="both"/>
      </w:pPr>
    </w:p>
    <w:p w:rsidR="009D2251" w:rsidRDefault="009D2251" w:rsidP="009D2251">
      <w:pPr>
        <w:jc w:val="both"/>
      </w:pPr>
      <w:r>
        <w:t>N</w:t>
      </w:r>
      <w:r>
        <w:rPr>
          <w:vertAlign w:val="subscript"/>
        </w:rPr>
        <w:t>2</w:t>
      </w:r>
      <w:r>
        <w:t xml:space="preserve"> = f</w:t>
      </w:r>
      <w:r>
        <w:rPr>
          <w:vertAlign w:val="subscript"/>
        </w:rPr>
        <w:t>2</w:t>
      </w:r>
      <w:r>
        <w:t xml:space="preserve">. </w:t>
      </w:r>
      <w:proofErr w:type="spellStart"/>
      <w:proofErr w:type="gramStart"/>
      <w:r>
        <w:t>Q</w:t>
      </w:r>
      <w:r>
        <w:rPr>
          <w:vertAlign w:val="subscript"/>
        </w:rPr>
        <w:t>t</w:t>
      </w:r>
      <w:proofErr w:type="spellEnd"/>
      <w:r>
        <w:t xml:space="preserve"> .</w:t>
      </w:r>
      <w:proofErr w:type="gramEnd"/>
      <w:r>
        <w:t xml:space="preserve"> L</w:t>
      </w:r>
      <w:r>
        <w:rPr>
          <w:vertAlign w:val="subscript"/>
        </w:rPr>
        <w:t>eş</w:t>
      </w:r>
      <w:r>
        <w:t xml:space="preserve"> / 270  (BG)</w:t>
      </w:r>
    </w:p>
    <w:p w:rsidR="009D2251" w:rsidRDefault="009D2251" w:rsidP="009D2251">
      <w:pPr>
        <w:jc w:val="both"/>
      </w:pPr>
    </w:p>
    <w:p w:rsidR="009D2251" w:rsidRDefault="009D2251" w:rsidP="009D2251">
      <w:pPr>
        <w:jc w:val="both"/>
      </w:pPr>
    </w:p>
    <w:p w:rsidR="009D2251" w:rsidRDefault="009D2251" w:rsidP="009D2251">
      <w:pPr>
        <w:jc w:val="both"/>
      </w:pPr>
      <w:proofErr w:type="spellStart"/>
      <w:proofErr w:type="gramStart"/>
      <w:r>
        <w:t>Q</w:t>
      </w:r>
      <w:r>
        <w:rPr>
          <w:vertAlign w:val="subscript"/>
        </w:rPr>
        <w:t>t</w:t>
      </w:r>
      <w:proofErr w:type="spellEnd"/>
      <w:r>
        <w:rPr>
          <w:vertAlign w:val="subscript"/>
        </w:rPr>
        <w:t xml:space="preserve"> </w:t>
      </w:r>
      <w:r>
        <w:t>: Kapasite</w:t>
      </w:r>
      <w:proofErr w:type="gramEnd"/>
      <w:r>
        <w:t xml:space="preserve"> (t/h)</w:t>
      </w:r>
    </w:p>
    <w:p w:rsidR="009D2251" w:rsidRDefault="009D2251" w:rsidP="009D2251">
      <w:pPr>
        <w:jc w:val="both"/>
      </w:pPr>
      <w:r>
        <w:t>f</w:t>
      </w:r>
      <w:r>
        <w:rPr>
          <w:vertAlign w:val="subscript"/>
        </w:rPr>
        <w:t>2</w:t>
      </w:r>
      <w:r>
        <w:t xml:space="preserve"> : Sürtünme katsayısı </w:t>
      </w:r>
      <w:proofErr w:type="spellStart"/>
      <w:proofErr w:type="gramStart"/>
      <w:r>
        <w:t>dır</w:t>
      </w:r>
      <w:proofErr w:type="spellEnd"/>
      <w:proofErr w:type="gramEnd"/>
      <w:r>
        <w:t>.</w:t>
      </w:r>
    </w:p>
    <w:p w:rsidR="009D2251" w:rsidRDefault="009D2251" w:rsidP="009D2251">
      <w:pPr>
        <w:jc w:val="both"/>
      </w:pPr>
    </w:p>
    <w:p w:rsidR="009D2251" w:rsidRDefault="009D2251" w:rsidP="009D2251">
      <w:pPr>
        <w:jc w:val="both"/>
      </w:pPr>
      <w:r>
        <w:t xml:space="preserve">Materyalin düşey olarak taşınması için gerekli </w:t>
      </w:r>
      <w:proofErr w:type="gramStart"/>
      <w:r>
        <w:t>güç ; materyali</w:t>
      </w:r>
      <w:proofErr w:type="gramEnd"/>
      <w:r>
        <w:t xml:space="preserve"> H metre yükseltmek ya da indirmek için götürücü tarafından harcanan ya da alınan güç;</w:t>
      </w:r>
    </w:p>
    <w:p w:rsidR="009D2251" w:rsidRDefault="009D2251" w:rsidP="009D2251">
      <w:pPr>
        <w:jc w:val="both"/>
      </w:pPr>
    </w:p>
    <w:p w:rsidR="009D2251" w:rsidRDefault="009D2251" w:rsidP="009D2251">
      <w:pPr>
        <w:jc w:val="both"/>
      </w:pPr>
      <w:r>
        <w:t>N</w:t>
      </w:r>
      <w:r>
        <w:rPr>
          <w:vertAlign w:val="subscript"/>
        </w:rPr>
        <w:t>3</w:t>
      </w:r>
      <w:r>
        <w:t xml:space="preserve"> = ± </w:t>
      </w:r>
      <w:proofErr w:type="spellStart"/>
      <w:r>
        <w:t>H.Qt</w:t>
      </w:r>
      <w:proofErr w:type="spellEnd"/>
      <w:r>
        <w:t xml:space="preserve"> / 270  (BG)</w:t>
      </w:r>
    </w:p>
    <w:p w:rsidR="009D2251" w:rsidRDefault="009D2251" w:rsidP="009D2251">
      <w:pPr>
        <w:jc w:val="both"/>
      </w:pPr>
    </w:p>
    <w:p w:rsidR="009D2251" w:rsidRDefault="009D2251" w:rsidP="009D2251">
      <w:pPr>
        <w:jc w:val="both"/>
      </w:pPr>
      <w:r>
        <w:t xml:space="preserve">Materyali ivmelendirmek için gerekli güç; </w:t>
      </w:r>
    </w:p>
    <w:p w:rsidR="009D2251" w:rsidRDefault="009D2251" w:rsidP="009D2251">
      <w:pPr>
        <w:jc w:val="both"/>
      </w:pPr>
    </w:p>
    <w:p w:rsidR="009D2251" w:rsidRDefault="009D2251" w:rsidP="009D2251">
      <w:pPr>
        <w:jc w:val="both"/>
      </w:pPr>
      <w:r>
        <w:t xml:space="preserve">Oluk ya da besleyicilerden banda yüklenen materyalin hızı genellikle bant hızından düşüktür. Hızı düşük olan bu materyalin hızını, bandın hızına kadar yükseltmek için, ilave bir güce gereksinim vardır. Bandın hızı v, materyalin bant yönündeki hız bileşeni </w:t>
      </w:r>
      <w:proofErr w:type="spellStart"/>
      <w:r>
        <w:t>v</w:t>
      </w:r>
      <w:r>
        <w:rPr>
          <w:vertAlign w:val="subscript"/>
        </w:rPr>
        <w:t>m</w:t>
      </w:r>
      <w:proofErr w:type="spellEnd"/>
      <w:r>
        <w:t xml:space="preserve">, kapasite </w:t>
      </w:r>
      <w:proofErr w:type="spellStart"/>
      <w:r w:rsidRPr="00026AC7">
        <w:t>Qt</w:t>
      </w:r>
      <w:proofErr w:type="spellEnd"/>
      <w:r>
        <w:t xml:space="preserve"> </w:t>
      </w:r>
      <w:r w:rsidRPr="00026AC7">
        <w:t>ise</w:t>
      </w:r>
      <w:r>
        <w:t>, ilave güç;</w:t>
      </w:r>
    </w:p>
    <w:p w:rsidR="009D2251" w:rsidRDefault="009D2251" w:rsidP="009D2251">
      <w:pPr>
        <w:jc w:val="both"/>
      </w:pPr>
    </w:p>
    <w:p w:rsidR="009D2251" w:rsidRDefault="009D2251" w:rsidP="009D2251">
      <w:pPr>
        <w:jc w:val="both"/>
      </w:pPr>
      <w:r>
        <w:t>N</w:t>
      </w:r>
      <w:r>
        <w:rPr>
          <w:vertAlign w:val="subscript"/>
        </w:rPr>
        <w:t>4</w:t>
      </w:r>
      <w:r>
        <w:t xml:space="preserve"> = </w:t>
      </w:r>
      <w:proofErr w:type="spellStart"/>
      <w:r>
        <w:t>Q</w:t>
      </w:r>
      <w:r>
        <w:rPr>
          <w:vertAlign w:val="subscript"/>
        </w:rPr>
        <w:t>t</w:t>
      </w:r>
      <w:proofErr w:type="spellEnd"/>
      <w:r>
        <w:t xml:space="preserve"> ( v</w:t>
      </w:r>
      <w:r>
        <w:rPr>
          <w:vertAlign w:val="superscript"/>
        </w:rPr>
        <w:t>2</w:t>
      </w:r>
      <w:r>
        <w:t xml:space="preserve"> – </w:t>
      </w:r>
      <w:proofErr w:type="spellStart"/>
      <w:r>
        <w:t>v</w:t>
      </w:r>
      <w:r>
        <w:rPr>
          <w:vertAlign w:val="subscript"/>
        </w:rPr>
        <w:t>m</w:t>
      </w:r>
      <w:proofErr w:type="spellEnd"/>
      <w:r>
        <w:t xml:space="preserve"> ) / 2650 (BG)</w:t>
      </w:r>
    </w:p>
    <w:p w:rsidR="009D2251" w:rsidRDefault="009D2251" w:rsidP="009D2251">
      <w:pPr>
        <w:jc w:val="both"/>
      </w:pPr>
    </w:p>
    <w:p w:rsidR="009D2251" w:rsidRDefault="009D2251" w:rsidP="009D2251">
      <w:pPr>
        <w:jc w:val="both"/>
      </w:pPr>
      <w:proofErr w:type="gramStart"/>
      <w:r>
        <w:t>eşitliği</w:t>
      </w:r>
      <w:proofErr w:type="gramEnd"/>
      <w:r>
        <w:t xml:space="preserve"> ile bulunur.</w:t>
      </w:r>
    </w:p>
    <w:p w:rsidR="009D2251" w:rsidRDefault="009D2251" w:rsidP="009D2251">
      <w:pPr>
        <w:jc w:val="both"/>
      </w:pPr>
    </w:p>
    <w:p w:rsidR="009D2251" w:rsidRDefault="009D2251" w:rsidP="009D2251">
      <w:pPr>
        <w:jc w:val="both"/>
        <w:rPr>
          <w:b/>
        </w:rPr>
      </w:pPr>
      <w:r>
        <w:rPr>
          <w:b/>
        </w:rPr>
        <w:t>6.2.5.  Gergi düzeni</w:t>
      </w:r>
    </w:p>
    <w:p w:rsidR="009D2251" w:rsidRDefault="009D2251" w:rsidP="009D2251">
      <w:pPr>
        <w:jc w:val="both"/>
        <w:rPr>
          <w:b/>
        </w:rPr>
      </w:pPr>
    </w:p>
    <w:p w:rsidR="009D2251" w:rsidRDefault="009D2251" w:rsidP="009D2251">
      <w:pPr>
        <w:jc w:val="both"/>
      </w:pPr>
      <w:r>
        <w:t>Gergi düzeni, bant kollarındaki gerekli çekme kuvvetini sağlar. Gergi kuvvetinin düşük olması için gergi düzeninin, banttaki çekme en az olduğu yere yerleştirilmesi gerekir.</w:t>
      </w:r>
    </w:p>
    <w:p w:rsidR="009D2251" w:rsidRDefault="009D2251" w:rsidP="009D2251">
      <w:pPr>
        <w:jc w:val="both"/>
      </w:pPr>
    </w:p>
    <w:p w:rsidR="009D2251" w:rsidRDefault="009D2251" w:rsidP="009D2251">
      <w:pPr>
        <w:jc w:val="both"/>
      </w:pPr>
      <w:r>
        <w:t>Gergi düzeninin kullanım amaçları aşağıda verilmiştir</w:t>
      </w:r>
      <w:proofErr w:type="gramStart"/>
      <w:r>
        <w:t>.;</w:t>
      </w:r>
      <w:proofErr w:type="gramEnd"/>
    </w:p>
    <w:p w:rsidR="009D2251" w:rsidRDefault="009D2251" w:rsidP="009D2251">
      <w:pPr>
        <w:jc w:val="both"/>
      </w:pPr>
    </w:p>
    <w:p w:rsidR="009D2251" w:rsidRDefault="009D2251" w:rsidP="009D2251">
      <w:pPr>
        <w:numPr>
          <w:ilvl w:val="0"/>
          <w:numId w:val="2"/>
        </w:numPr>
        <w:jc w:val="both"/>
      </w:pPr>
      <w:r>
        <w:t>Bandın, tahrik tamburunda kayma yapmaması için gerekli çekme ya da germe kuvvetini sağlamak</w:t>
      </w:r>
    </w:p>
    <w:p w:rsidR="009D2251" w:rsidRDefault="009D2251" w:rsidP="009D2251">
      <w:pPr>
        <w:numPr>
          <w:ilvl w:val="0"/>
          <w:numId w:val="2"/>
        </w:numPr>
        <w:jc w:val="both"/>
      </w:pPr>
      <w:r>
        <w:t xml:space="preserve">Özellikle yükleme bölgesinde bant </w:t>
      </w:r>
      <w:proofErr w:type="spellStart"/>
      <w:r>
        <w:t>oluklaşmasının</w:t>
      </w:r>
      <w:proofErr w:type="spellEnd"/>
      <w:r>
        <w:t xml:space="preserve"> bozulmaması ve bandın makaralar arasında gerekenden fazla sarkmaması için gerekli bant kuvvetini sağlamak</w:t>
      </w:r>
    </w:p>
    <w:p w:rsidR="009D2251" w:rsidRDefault="009D2251" w:rsidP="009D2251">
      <w:pPr>
        <w:numPr>
          <w:ilvl w:val="0"/>
          <w:numId w:val="2"/>
        </w:numPr>
        <w:jc w:val="both"/>
      </w:pPr>
      <w:r>
        <w:t>Bantta oluşan uzama ve kısalmaları gidermek</w:t>
      </w:r>
    </w:p>
    <w:p w:rsidR="009D2251" w:rsidRDefault="009D2251" w:rsidP="009D2251">
      <w:pPr>
        <w:numPr>
          <w:ilvl w:val="0"/>
          <w:numId w:val="2"/>
        </w:numPr>
        <w:jc w:val="both"/>
      </w:pPr>
      <w:r>
        <w:t>Bant ekleri için bir miktar bant stoku oluşturmak</w:t>
      </w:r>
    </w:p>
    <w:p w:rsidR="009D2251" w:rsidRDefault="009D2251" w:rsidP="009D2251">
      <w:pPr>
        <w:jc w:val="both"/>
      </w:pPr>
    </w:p>
    <w:p w:rsidR="009D2251" w:rsidRDefault="009D2251" w:rsidP="009D2251">
      <w:pPr>
        <w:jc w:val="both"/>
      </w:pPr>
      <w:r>
        <w:t>Gergi kuvveti, gerginin yapıldığı yerdeki bant çeki kuvvetinin (T</w:t>
      </w:r>
      <w:r>
        <w:rPr>
          <w:vertAlign w:val="subscript"/>
        </w:rPr>
        <w:t>a</w:t>
      </w:r>
      <w:r>
        <w:t>) iki katıdır.</w:t>
      </w:r>
    </w:p>
    <w:p w:rsidR="009D2251" w:rsidRDefault="009D2251" w:rsidP="009D2251">
      <w:pPr>
        <w:jc w:val="both"/>
      </w:pPr>
    </w:p>
    <w:p w:rsidR="009D2251" w:rsidRDefault="009D2251" w:rsidP="009D2251">
      <w:pPr>
        <w:jc w:val="both"/>
      </w:pPr>
      <w:proofErr w:type="spellStart"/>
      <w:r>
        <w:t>T</w:t>
      </w:r>
      <w:r>
        <w:rPr>
          <w:vertAlign w:val="subscript"/>
        </w:rPr>
        <w:t>c</w:t>
      </w:r>
      <w:proofErr w:type="spellEnd"/>
      <w:r>
        <w:t xml:space="preserve"> = 2 T</w:t>
      </w:r>
      <w:r>
        <w:rPr>
          <w:vertAlign w:val="subscript"/>
        </w:rPr>
        <w:t>a</w:t>
      </w:r>
    </w:p>
    <w:p w:rsidR="009D2251" w:rsidRDefault="009D2251" w:rsidP="009D2251">
      <w:pPr>
        <w:jc w:val="both"/>
      </w:pPr>
    </w:p>
    <w:p w:rsidR="009D2251" w:rsidRDefault="009D2251" w:rsidP="009D2251">
      <w:pPr>
        <w:jc w:val="both"/>
      </w:pPr>
    </w:p>
    <w:p w:rsidR="009D2251" w:rsidRDefault="009D2251" w:rsidP="009D2251">
      <w:pPr>
        <w:jc w:val="both"/>
      </w:pPr>
    </w:p>
    <w:p w:rsidR="009D2251" w:rsidRDefault="009D2251" w:rsidP="009D2251">
      <w:pPr>
        <w:jc w:val="both"/>
      </w:pPr>
      <w:r>
        <w:rPr>
          <w:b/>
        </w:rPr>
        <w:t>6.2.6.  Yükleme düzeni</w:t>
      </w:r>
    </w:p>
    <w:p w:rsidR="009D2251" w:rsidRDefault="009D2251" w:rsidP="009D2251">
      <w:pPr>
        <w:jc w:val="both"/>
        <w:rPr>
          <w:b/>
        </w:rPr>
      </w:pPr>
    </w:p>
    <w:p w:rsidR="009D2251" w:rsidRDefault="009D2251" w:rsidP="009D2251">
      <w:pPr>
        <w:jc w:val="both"/>
      </w:pPr>
      <w:r>
        <w:t>Bir bantlı götürücünün istenen şekilde çalışabilmesi için:</w:t>
      </w:r>
    </w:p>
    <w:p w:rsidR="009D2251" w:rsidRDefault="009D2251" w:rsidP="009D2251">
      <w:pPr>
        <w:jc w:val="both"/>
      </w:pPr>
    </w:p>
    <w:p w:rsidR="009D2251" w:rsidRPr="003956A0" w:rsidRDefault="009D2251" w:rsidP="009D2251">
      <w:pPr>
        <w:numPr>
          <w:ilvl w:val="0"/>
          <w:numId w:val="3"/>
        </w:numPr>
        <w:jc w:val="both"/>
        <w:rPr>
          <w:b/>
        </w:rPr>
      </w:pPr>
      <w:r>
        <w:t>Bantlı götürücünün uygun bir şekilde yüklenmesi</w:t>
      </w:r>
    </w:p>
    <w:p w:rsidR="009D2251" w:rsidRDefault="009D2251" w:rsidP="009D2251">
      <w:pPr>
        <w:numPr>
          <w:ilvl w:val="0"/>
          <w:numId w:val="3"/>
        </w:numPr>
        <w:jc w:val="both"/>
        <w:rPr>
          <w:b/>
        </w:rPr>
      </w:pPr>
      <w:r>
        <w:t>Bantlı götürücünün uygun bir şekilde boşaltılması gerekir.</w:t>
      </w:r>
      <w:r w:rsidRPr="003956A0">
        <w:rPr>
          <w:b/>
        </w:rPr>
        <w:t xml:space="preserve">  </w:t>
      </w:r>
    </w:p>
    <w:p w:rsidR="009D2251" w:rsidRDefault="009D2251" w:rsidP="009D2251">
      <w:pPr>
        <w:jc w:val="both"/>
        <w:rPr>
          <w:b/>
        </w:rPr>
      </w:pPr>
    </w:p>
    <w:p w:rsidR="009D2251" w:rsidRDefault="009D2251" w:rsidP="009D2251">
      <w:pPr>
        <w:jc w:val="both"/>
      </w:pPr>
      <w:r>
        <w:t xml:space="preserve">Bantlı götürücülere materyal genellikle bir olukla verilir. Oluk, materyalin etrafa yayılmasını ve dökülmesini önleyerek, düzenli bir şekilde banda verilmesini sağlar. </w:t>
      </w:r>
    </w:p>
    <w:p w:rsidR="009D2251" w:rsidRDefault="009D2251" w:rsidP="009D2251">
      <w:pPr>
        <w:jc w:val="both"/>
      </w:pPr>
    </w:p>
    <w:p w:rsidR="009D2251" w:rsidRDefault="009D2251" w:rsidP="009D2251">
      <w:pPr>
        <w:jc w:val="both"/>
      </w:pPr>
      <w:r>
        <w:t>Materyalin banda yüklenmesinde aşağıda verilenlere dikkat edilmelidir;</w:t>
      </w:r>
    </w:p>
    <w:p w:rsidR="009D2251" w:rsidRDefault="009D2251" w:rsidP="009D2251">
      <w:pPr>
        <w:jc w:val="both"/>
      </w:pPr>
    </w:p>
    <w:p w:rsidR="009D2251" w:rsidRDefault="009D2251" w:rsidP="009D2251">
      <w:pPr>
        <w:numPr>
          <w:ilvl w:val="0"/>
          <w:numId w:val="4"/>
        </w:numPr>
        <w:jc w:val="both"/>
      </w:pPr>
      <w:r>
        <w:t>Bant, düzgün bir şekilde ve bant eksenine göre simetrik olarak yüklenmeli</w:t>
      </w:r>
    </w:p>
    <w:p w:rsidR="009D2251" w:rsidRDefault="009D2251" w:rsidP="009D2251">
      <w:pPr>
        <w:numPr>
          <w:ilvl w:val="0"/>
          <w:numId w:val="4"/>
        </w:numPr>
        <w:jc w:val="both"/>
      </w:pPr>
      <w:r>
        <w:t>Banda gelen darbe ve aşınma etkilerini en aza indirilmeli</w:t>
      </w:r>
    </w:p>
    <w:p w:rsidR="009D2251" w:rsidRDefault="009D2251" w:rsidP="009D2251">
      <w:pPr>
        <w:numPr>
          <w:ilvl w:val="0"/>
          <w:numId w:val="4"/>
        </w:numPr>
        <w:jc w:val="both"/>
      </w:pPr>
      <w:r>
        <w:t>Materyalin bant yönündeki hızı, bant hızına eşit olmalıdır.</w:t>
      </w:r>
    </w:p>
    <w:p w:rsidR="009D2251" w:rsidRDefault="009D2251" w:rsidP="009D2251">
      <w:pPr>
        <w:jc w:val="both"/>
      </w:pPr>
    </w:p>
    <w:p w:rsidR="009D2251" w:rsidRDefault="009D2251" w:rsidP="009D2251">
      <w:pPr>
        <w:jc w:val="both"/>
      </w:pPr>
      <w:r>
        <w:t>Materyali düzgün bir şekilde sabit debiyle nakleden düzenlere besleyici adı verilir. En çok kullanılan besleyici tipleri &lt;,</w:t>
      </w:r>
    </w:p>
    <w:p w:rsidR="009D2251" w:rsidRDefault="009D2251" w:rsidP="009D2251">
      <w:pPr>
        <w:jc w:val="both"/>
      </w:pPr>
    </w:p>
    <w:p w:rsidR="009D2251" w:rsidRDefault="009D2251" w:rsidP="009D2251">
      <w:pPr>
        <w:jc w:val="both"/>
      </w:pPr>
    </w:p>
    <w:p w:rsidR="009D2251" w:rsidRDefault="009D2251" w:rsidP="009D2251">
      <w:pPr>
        <w:numPr>
          <w:ilvl w:val="0"/>
          <w:numId w:val="5"/>
        </w:numPr>
        <w:jc w:val="both"/>
      </w:pPr>
      <w:r>
        <w:t>Bantlı besleyiciler</w:t>
      </w:r>
    </w:p>
    <w:p w:rsidR="009D2251" w:rsidRDefault="009D2251" w:rsidP="009D2251">
      <w:pPr>
        <w:numPr>
          <w:ilvl w:val="0"/>
          <w:numId w:val="5"/>
        </w:numPr>
        <w:jc w:val="both"/>
      </w:pPr>
      <w:r>
        <w:t>Çelik plakalı besleyiciler</w:t>
      </w:r>
    </w:p>
    <w:p w:rsidR="009D2251" w:rsidRDefault="009D2251" w:rsidP="009D2251">
      <w:pPr>
        <w:numPr>
          <w:ilvl w:val="0"/>
          <w:numId w:val="5"/>
        </w:numPr>
        <w:jc w:val="both"/>
      </w:pPr>
      <w:r>
        <w:t>Vargel (gidip gelen) besleyiciler</w:t>
      </w:r>
    </w:p>
    <w:p w:rsidR="009D2251" w:rsidRDefault="009D2251" w:rsidP="009D2251">
      <w:pPr>
        <w:numPr>
          <w:ilvl w:val="0"/>
          <w:numId w:val="5"/>
        </w:numPr>
        <w:jc w:val="both"/>
      </w:pPr>
      <w:r>
        <w:t>Vidalı besleyiciler</w:t>
      </w:r>
    </w:p>
    <w:p w:rsidR="009D2251" w:rsidRDefault="009D2251" w:rsidP="009D2251">
      <w:pPr>
        <w:numPr>
          <w:ilvl w:val="0"/>
          <w:numId w:val="5"/>
        </w:numPr>
        <w:jc w:val="both"/>
      </w:pPr>
      <w:proofErr w:type="spellStart"/>
      <w:r>
        <w:t>Küreyicili</w:t>
      </w:r>
      <w:proofErr w:type="spellEnd"/>
      <w:r>
        <w:t xml:space="preserve"> besleyiciler</w:t>
      </w:r>
    </w:p>
    <w:p w:rsidR="009D2251" w:rsidRDefault="009D2251" w:rsidP="009D2251">
      <w:pPr>
        <w:numPr>
          <w:ilvl w:val="0"/>
          <w:numId w:val="5"/>
        </w:numPr>
        <w:jc w:val="both"/>
      </w:pPr>
      <w:r>
        <w:lastRenderedPageBreak/>
        <w:t>Titreşimli besleyiciler</w:t>
      </w:r>
    </w:p>
    <w:p w:rsidR="009D2251" w:rsidRDefault="009D2251" w:rsidP="009D2251">
      <w:pPr>
        <w:numPr>
          <w:ilvl w:val="0"/>
          <w:numId w:val="5"/>
        </w:numPr>
        <w:jc w:val="both"/>
      </w:pPr>
      <w:r>
        <w:t>Döner kanatlı besleyiciler</w:t>
      </w:r>
    </w:p>
    <w:p w:rsidR="009D2251" w:rsidRDefault="009D2251" w:rsidP="009D2251">
      <w:pPr>
        <w:numPr>
          <w:ilvl w:val="0"/>
          <w:numId w:val="5"/>
        </w:numPr>
        <w:jc w:val="both"/>
      </w:pPr>
      <w:r>
        <w:t>Döner tamburlu besleyiciler</w:t>
      </w:r>
    </w:p>
    <w:p w:rsidR="009D2251" w:rsidRDefault="009D2251" w:rsidP="009D2251">
      <w:pPr>
        <w:numPr>
          <w:ilvl w:val="0"/>
          <w:numId w:val="5"/>
        </w:numPr>
        <w:jc w:val="both"/>
      </w:pPr>
      <w:r>
        <w:t>Döner tablalı besleyiciler</w:t>
      </w:r>
    </w:p>
    <w:p w:rsidR="009D2251" w:rsidRDefault="009D2251" w:rsidP="009D2251">
      <w:pPr>
        <w:numPr>
          <w:ilvl w:val="0"/>
          <w:numId w:val="5"/>
        </w:numPr>
        <w:jc w:val="both"/>
      </w:pPr>
      <w:r>
        <w:t xml:space="preserve">Döner </w:t>
      </w:r>
      <w:proofErr w:type="spellStart"/>
      <w:r>
        <w:t>küreyicili</w:t>
      </w:r>
      <w:proofErr w:type="spellEnd"/>
      <w:r>
        <w:t xml:space="preserve"> besleyiciler.</w:t>
      </w:r>
    </w:p>
    <w:p w:rsidR="009D2251" w:rsidRDefault="009D2251" w:rsidP="009D2251">
      <w:pPr>
        <w:jc w:val="both"/>
      </w:pPr>
    </w:p>
    <w:p w:rsidR="009D2251" w:rsidRDefault="009D2251" w:rsidP="009D2251">
      <w:pPr>
        <w:jc w:val="both"/>
        <w:rPr>
          <w:b/>
        </w:rPr>
      </w:pPr>
    </w:p>
    <w:p w:rsidR="009D2251" w:rsidRDefault="009D2251" w:rsidP="009D2251">
      <w:pPr>
        <w:jc w:val="both"/>
        <w:rPr>
          <w:b/>
        </w:rPr>
      </w:pPr>
    </w:p>
    <w:p w:rsidR="009D2251" w:rsidRDefault="009D2251" w:rsidP="009D2251">
      <w:pPr>
        <w:jc w:val="both"/>
        <w:rPr>
          <w:b/>
        </w:rPr>
      </w:pPr>
      <w:r>
        <w:rPr>
          <w:b/>
        </w:rPr>
        <w:t>6.2.7.  Boşaltma düzeni</w:t>
      </w:r>
    </w:p>
    <w:p w:rsidR="009D2251" w:rsidRDefault="009D2251" w:rsidP="009D2251">
      <w:pPr>
        <w:jc w:val="both"/>
        <w:rPr>
          <w:b/>
        </w:rPr>
      </w:pPr>
    </w:p>
    <w:p w:rsidR="009D2251" w:rsidRDefault="009D2251" w:rsidP="009D2251">
      <w:pPr>
        <w:jc w:val="both"/>
      </w:pPr>
      <w:r w:rsidRPr="006D49EE">
        <w:t xml:space="preserve">Bantlı götürücülerde </w:t>
      </w:r>
      <w:r>
        <w:t>en çok kullanılan boşaltma şekli baş tamburundan materyalin boşaltılmasıdır. Bunun dışında, boşaltma işleminde sıyırıcılarda kullanılır. Sıyırıcılar sabit ya da bir araba üzerinde hareketli olabilir.</w:t>
      </w:r>
    </w:p>
    <w:p w:rsidR="009D2251" w:rsidRDefault="009D2251" w:rsidP="009D2251">
      <w:pPr>
        <w:jc w:val="both"/>
      </w:pPr>
    </w:p>
    <w:p w:rsidR="009D2251" w:rsidRDefault="009D2251" w:rsidP="009D2251">
      <w:pPr>
        <w:jc w:val="both"/>
        <w:rPr>
          <w:b/>
        </w:rPr>
      </w:pPr>
      <w:r>
        <w:rPr>
          <w:b/>
        </w:rPr>
        <w:t>6.2.8.  Bant temizleme düzeni</w:t>
      </w:r>
    </w:p>
    <w:p w:rsidR="009D2251" w:rsidRDefault="009D2251" w:rsidP="009D2251">
      <w:pPr>
        <w:jc w:val="both"/>
      </w:pPr>
    </w:p>
    <w:p w:rsidR="009D2251" w:rsidRDefault="009D2251" w:rsidP="009D2251">
      <w:pPr>
        <w:jc w:val="both"/>
      </w:pPr>
      <w:r>
        <w:t>Genellikle bantların yalnızca materyali taşıyan yüzeyi temizlenir. Materyalin durumuna göre çeşitli temizleme düzenleri kullanılır. Bunlar;</w:t>
      </w:r>
    </w:p>
    <w:p w:rsidR="009D2251" w:rsidRDefault="009D2251" w:rsidP="009D2251">
      <w:pPr>
        <w:jc w:val="both"/>
      </w:pPr>
    </w:p>
    <w:p w:rsidR="009D2251" w:rsidRDefault="009D2251" w:rsidP="009D2251">
      <w:pPr>
        <w:numPr>
          <w:ilvl w:val="0"/>
          <w:numId w:val="6"/>
        </w:numPr>
        <w:jc w:val="both"/>
      </w:pPr>
      <w:r>
        <w:t>Sabit silgiler</w:t>
      </w:r>
    </w:p>
    <w:p w:rsidR="009D2251" w:rsidRDefault="009D2251" w:rsidP="009D2251">
      <w:pPr>
        <w:numPr>
          <w:ilvl w:val="0"/>
          <w:numId w:val="6"/>
        </w:numPr>
        <w:jc w:val="both"/>
      </w:pPr>
      <w:r>
        <w:t>Doğrusal hareketli silgiler</w:t>
      </w:r>
    </w:p>
    <w:p w:rsidR="009D2251" w:rsidRDefault="009D2251" w:rsidP="009D2251">
      <w:pPr>
        <w:numPr>
          <w:ilvl w:val="0"/>
          <w:numId w:val="6"/>
        </w:numPr>
        <w:jc w:val="both"/>
      </w:pPr>
      <w:r>
        <w:t>Döner tambur ve döner fırçalar</w:t>
      </w:r>
    </w:p>
    <w:p w:rsidR="009D2251" w:rsidRDefault="009D2251" w:rsidP="009D2251">
      <w:pPr>
        <w:numPr>
          <w:ilvl w:val="0"/>
          <w:numId w:val="6"/>
        </w:numPr>
        <w:jc w:val="both"/>
      </w:pPr>
      <w:r>
        <w:t xml:space="preserve">Bandın çevrilmesi </w:t>
      </w:r>
      <w:proofErr w:type="spellStart"/>
      <w:r>
        <w:t>dir</w:t>
      </w:r>
      <w:proofErr w:type="spellEnd"/>
      <w:r>
        <w:t>.</w:t>
      </w:r>
    </w:p>
    <w:p w:rsidR="009D2251" w:rsidRDefault="009D2251" w:rsidP="009D2251">
      <w:pPr>
        <w:jc w:val="both"/>
      </w:pPr>
    </w:p>
    <w:p w:rsidR="009D2251" w:rsidRDefault="009D2251" w:rsidP="009D2251">
      <w:pPr>
        <w:jc w:val="both"/>
      </w:pPr>
      <w:r>
        <w:t>Sabit silgiler genellikle fazla yapışkan olmayan materyallerin temizlenmesinde kullanılır. Sabit silgilerin en önemli sakıncası, banda genişliği boyunca istenen şekilde bastırmaması nedeniyle özellikle yapışkan materyallerde etkin temizleme yapamazlar. Bu sakıncanın giderilmesi için banda yalnızca bir noktada temas eden ve tambur eksenine paralel olarak hareket eden silgiler kullanılır.</w:t>
      </w:r>
    </w:p>
    <w:p w:rsidR="009D2251" w:rsidRDefault="009D2251" w:rsidP="009D2251">
      <w:pPr>
        <w:jc w:val="both"/>
      </w:pPr>
    </w:p>
    <w:p w:rsidR="009D2251" w:rsidRDefault="009D2251" w:rsidP="009D2251">
      <w:pPr>
        <w:jc w:val="both"/>
      </w:pPr>
    </w:p>
    <w:p w:rsidR="009D2251" w:rsidRDefault="009D2251" w:rsidP="009D2251">
      <w:pPr>
        <w:jc w:val="both"/>
      </w:pPr>
    </w:p>
    <w:p w:rsidR="009D2251" w:rsidRDefault="009D2251" w:rsidP="009D2251">
      <w:pPr>
        <w:jc w:val="both"/>
      </w:pPr>
    </w:p>
    <w:p w:rsidR="009D2251" w:rsidRDefault="009D2251"/>
    <w:sectPr w:rsidR="009D2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7B3"/>
    <w:multiLevelType w:val="hybridMultilevel"/>
    <w:tmpl w:val="A04CEF3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0474CE"/>
    <w:multiLevelType w:val="hybridMultilevel"/>
    <w:tmpl w:val="845C39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A01896"/>
    <w:multiLevelType w:val="hybridMultilevel"/>
    <w:tmpl w:val="44865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CC4573"/>
    <w:multiLevelType w:val="hybridMultilevel"/>
    <w:tmpl w:val="98AC70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2B22C6"/>
    <w:multiLevelType w:val="hybridMultilevel"/>
    <w:tmpl w:val="D30E4F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E027940"/>
    <w:multiLevelType w:val="hybridMultilevel"/>
    <w:tmpl w:val="86BEC9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F5"/>
    <w:rsid w:val="009D2251"/>
    <w:rsid w:val="00C45396"/>
    <w:rsid w:val="00FE3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6C89D-8AF3-4F7B-9F1D-74B53981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51"/>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2017-11-30T13:40:00Z</dcterms:created>
  <dcterms:modified xsi:type="dcterms:W3CDTF">2017-11-30T13:40:00Z</dcterms:modified>
</cp:coreProperties>
</file>