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43" w:rsidRPr="00820743" w:rsidRDefault="00820743" w:rsidP="000A5368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Ankara </w:t>
      </w:r>
      <w:proofErr w:type="spellStart"/>
      <w:r w:rsidRPr="00820743">
        <w:rPr>
          <w:sz w:val="16"/>
          <w:szCs w:val="16"/>
        </w:rPr>
        <w:t>University</w:t>
      </w:r>
      <w:proofErr w:type="spellEnd"/>
      <w:r w:rsidRPr="00820743">
        <w:rPr>
          <w:sz w:val="16"/>
          <w:szCs w:val="16"/>
        </w:rPr>
        <w:t xml:space="preserve"> </w:t>
      </w:r>
    </w:p>
    <w:p w:rsidR="00820743" w:rsidRPr="00820743" w:rsidRDefault="00820743" w:rsidP="000A5368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Library </w:t>
      </w:r>
      <w:proofErr w:type="spellStart"/>
      <w:r w:rsidRPr="00820743">
        <w:rPr>
          <w:sz w:val="16"/>
          <w:szCs w:val="16"/>
        </w:rPr>
        <w:t>and</w:t>
      </w:r>
      <w:proofErr w:type="spellEnd"/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Documentation</w:t>
      </w:r>
      <w:proofErr w:type="spellEnd"/>
      <w:r w:rsidRPr="00820743">
        <w:rPr>
          <w:sz w:val="16"/>
          <w:szCs w:val="16"/>
        </w:rPr>
        <w:t xml:space="preserve"> </w:t>
      </w:r>
    </w:p>
    <w:p w:rsidR="00BC32DD" w:rsidRPr="00820743" w:rsidRDefault="00820743" w:rsidP="008D7F6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Center Open </w:t>
      </w:r>
      <w:proofErr w:type="spellStart"/>
      <w:r w:rsidRPr="00820743">
        <w:rPr>
          <w:sz w:val="16"/>
          <w:szCs w:val="16"/>
        </w:rPr>
        <w:t>Courseware</w:t>
      </w:r>
      <w:proofErr w:type="spellEnd"/>
      <w:r w:rsidRPr="00820743">
        <w:rPr>
          <w:sz w:val="16"/>
          <w:szCs w:val="16"/>
        </w:rPr>
        <w:t xml:space="preserve"> </w:t>
      </w:r>
    </w:p>
    <w:p w:rsidR="00BC32DD" w:rsidRDefault="001A6404" w:rsidP="001A6404">
      <w:pPr>
        <w:jc w:val="center"/>
        <w:rPr>
          <w:b/>
          <w:sz w:val="16"/>
          <w:szCs w:val="16"/>
        </w:rPr>
      </w:pPr>
      <w:proofErr w:type="spellStart"/>
      <w:r w:rsidRPr="001A6404">
        <w:rPr>
          <w:b/>
          <w:sz w:val="16"/>
          <w:szCs w:val="16"/>
        </w:rPr>
        <w:t>Syllabus</w:t>
      </w:r>
      <w:proofErr w:type="spellEnd"/>
    </w:p>
    <w:p w:rsidR="001A6404" w:rsidRPr="001A6404" w:rsidRDefault="001A6404" w:rsidP="001A6404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F200F9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Title</w:t>
            </w:r>
            <w:proofErr w:type="spellEnd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>and</w:t>
            </w:r>
            <w:proofErr w:type="spellEnd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>cod</w:t>
            </w:r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e</w:t>
            </w:r>
            <w:proofErr w:type="spellEnd"/>
          </w:p>
        </w:tc>
        <w:tc>
          <w:tcPr>
            <w:tcW w:w="7366" w:type="dxa"/>
          </w:tcPr>
          <w:p w:rsidR="00BC32DD" w:rsidRPr="00F0056F" w:rsidRDefault="00F200F9" w:rsidP="00832AEF">
            <w:pPr>
              <w:pStyle w:val="DersBilgileri"/>
              <w:rPr>
                <w:bCs/>
                <w:szCs w:val="16"/>
              </w:rPr>
            </w:pPr>
            <w:proofErr w:type="spellStart"/>
            <w:r w:rsidRPr="00F0056F">
              <w:rPr>
                <w:bCs/>
                <w:szCs w:val="16"/>
              </w:rPr>
              <w:t>Pharmaceutical</w:t>
            </w:r>
            <w:proofErr w:type="spellEnd"/>
            <w:r w:rsidRPr="00F0056F">
              <w:rPr>
                <w:bCs/>
                <w:szCs w:val="16"/>
              </w:rPr>
              <w:t xml:space="preserve"> </w:t>
            </w:r>
            <w:proofErr w:type="spellStart"/>
            <w:r w:rsidRPr="00F0056F">
              <w:rPr>
                <w:bCs/>
                <w:szCs w:val="16"/>
              </w:rPr>
              <w:t>Chemistry</w:t>
            </w:r>
            <w:proofErr w:type="spellEnd"/>
            <w:r w:rsidRPr="00F0056F">
              <w:rPr>
                <w:bCs/>
                <w:szCs w:val="16"/>
              </w:rPr>
              <w:t xml:space="preserve"> I-</w:t>
            </w:r>
            <w:r w:rsidR="00C7572E" w:rsidRPr="00F0056F">
              <w:rPr>
                <w:bCs/>
                <w:szCs w:val="16"/>
              </w:rPr>
              <w:t>PHA385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Coordinator</w:t>
            </w:r>
            <w:proofErr w:type="spellEnd"/>
          </w:p>
        </w:tc>
        <w:tc>
          <w:tcPr>
            <w:tcW w:w="7366" w:type="dxa"/>
          </w:tcPr>
          <w:p w:rsidR="00BC32DD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Prof.Tunca</w:t>
            </w:r>
            <w:proofErr w:type="spellEnd"/>
            <w:r w:rsidRPr="00F0056F">
              <w:rPr>
                <w:szCs w:val="16"/>
              </w:rPr>
              <w:t xml:space="preserve"> Gül ALTUNTAŞ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C7572E" w:rsidRPr="00F0056F" w:rsidRDefault="00C7572E" w:rsidP="00832AEF">
            <w:pPr>
              <w:pStyle w:val="DersBasliklar"/>
              <w:rPr>
                <w:rFonts w:cs="Arial TUR"/>
                <w:bCs w:val="0"/>
                <w:szCs w:val="16"/>
                <w:shd w:val="clear" w:color="auto" w:fill="F6F6F6"/>
              </w:rPr>
            </w:pP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Instructors</w:t>
            </w:r>
            <w:proofErr w:type="spellEnd"/>
          </w:p>
        </w:tc>
        <w:tc>
          <w:tcPr>
            <w:tcW w:w="7366" w:type="dxa"/>
          </w:tcPr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r w:rsidRPr="00F0056F">
              <w:rPr>
                <w:szCs w:val="16"/>
              </w:rPr>
              <w:t>Prof. Tunca Gül ALTUNTAŞ</w:t>
            </w:r>
          </w:p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Prof.Sibel</w:t>
            </w:r>
            <w:proofErr w:type="spellEnd"/>
            <w:r w:rsidRPr="00F0056F">
              <w:rPr>
                <w:szCs w:val="16"/>
              </w:rPr>
              <w:t xml:space="preserve"> SÜZEN</w:t>
            </w:r>
          </w:p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Prof.Zeynep</w:t>
            </w:r>
            <w:proofErr w:type="spellEnd"/>
            <w:r w:rsidRPr="00F0056F">
              <w:rPr>
                <w:szCs w:val="16"/>
              </w:rPr>
              <w:t xml:space="preserve"> ATEŞ ALAGÖZ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Course Level</w:t>
            </w:r>
          </w:p>
        </w:tc>
        <w:tc>
          <w:tcPr>
            <w:tcW w:w="7366" w:type="dxa"/>
          </w:tcPr>
          <w:p w:rsidR="00BC32DD" w:rsidRPr="00F0056F" w:rsidRDefault="001A6404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Undergraduate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Type</w:t>
            </w:r>
            <w:proofErr w:type="spellEnd"/>
          </w:p>
        </w:tc>
        <w:tc>
          <w:tcPr>
            <w:tcW w:w="7366" w:type="dxa"/>
          </w:tcPr>
          <w:p w:rsidR="00BC32DD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Compulsory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084BED" w:rsidRPr="00F0056F" w:rsidRDefault="00084BED" w:rsidP="00832AEF">
            <w:pPr>
              <w:pStyle w:val="DersBasliklar"/>
              <w:rPr>
                <w:rFonts w:cs="Arial TUR"/>
                <w:szCs w:val="16"/>
              </w:rPr>
            </w:pPr>
            <w:r w:rsidRPr="00084BED">
              <w:rPr>
                <w:rFonts w:cs="Arial TUR"/>
                <w:szCs w:val="16"/>
              </w:rPr>
              <w:t>Course Content</w:t>
            </w:r>
          </w:p>
        </w:tc>
        <w:tc>
          <w:tcPr>
            <w:tcW w:w="7366" w:type="dxa"/>
          </w:tcPr>
          <w:p w:rsidR="00084BED" w:rsidRPr="00F0056F" w:rsidRDefault="00084BED" w:rsidP="00084BED">
            <w:pPr>
              <w:jc w:val="left"/>
              <w:rPr>
                <w:rFonts w:cs="Arial TUR"/>
                <w:b/>
                <w:bCs/>
                <w:sz w:val="16"/>
                <w:szCs w:val="16"/>
              </w:rPr>
            </w:pPr>
            <w:proofErr w:type="spellStart"/>
            <w:r w:rsidRPr="00084BED">
              <w:rPr>
                <w:rFonts w:cs="Arial TUR"/>
                <w:sz w:val="16"/>
                <w:szCs w:val="16"/>
              </w:rPr>
              <w:t>In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this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course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formula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nomenclature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general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physicochemical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properties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general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synthetic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pathways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metabolism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stability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general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chemical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analysis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structure-activity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relationships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pharmaceutical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active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ingredients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used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in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diagnosis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treatment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of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some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diseases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are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given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.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Within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this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general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topic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introduction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to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medicinal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chemistry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metabolism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structure-activity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relationships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transport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systems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chemical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bonding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narcotic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analgesics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non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steroidal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antiinflammatory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sedative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hypnotic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tranquilizing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neuroleptics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anticancer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general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anesthetics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local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anesthetics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antidepressants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myorelaxant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anticonvulsants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antiepileptics</w:t>
            </w:r>
            <w:proofErr w:type="spellEnd"/>
            <w:r w:rsidRPr="00084BED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084BED">
              <w:rPr>
                <w:rFonts w:cs="Arial TUR"/>
                <w:sz w:val="16"/>
                <w:szCs w:val="16"/>
              </w:rPr>
              <w:t>antihistamines</w:t>
            </w:r>
            <w:proofErr w:type="spellEnd"/>
            <w:r w:rsidRPr="00F0056F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F0056F">
              <w:rPr>
                <w:rFonts w:cs="Arial TUR"/>
                <w:sz w:val="16"/>
                <w:szCs w:val="16"/>
              </w:rPr>
              <w:t>are</w:t>
            </w:r>
            <w:proofErr w:type="spellEnd"/>
            <w:r w:rsidRPr="00F0056F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F0056F">
              <w:rPr>
                <w:rFonts w:cs="Arial TUR"/>
                <w:sz w:val="16"/>
                <w:szCs w:val="16"/>
              </w:rPr>
              <w:t>taught</w:t>
            </w:r>
            <w:proofErr w:type="spellEnd"/>
            <w:r w:rsidRPr="00F0056F">
              <w:rPr>
                <w:rFonts w:cs="Arial TUR"/>
                <w:sz w:val="16"/>
                <w:szCs w:val="16"/>
              </w:rPr>
              <w:t>.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i w:val="0"/>
                <w:szCs w:val="16"/>
              </w:rPr>
            </w:pPr>
            <w:proofErr w:type="spellStart"/>
            <w:r w:rsidRPr="00F0056F">
              <w:rPr>
                <w:rFonts w:cs="Arial TUR"/>
                <w:bCs w:val="0"/>
                <w:i w:val="0"/>
                <w:szCs w:val="16"/>
                <w:shd w:val="clear" w:color="auto" w:fill="F6F6F6"/>
              </w:rPr>
              <w:t>Goals</w:t>
            </w:r>
            <w:proofErr w:type="spellEnd"/>
          </w:p>
        </w:tc>
        <w:tc>
          <w:tcPr>
            <w:tcW w:w="7366" w:type="dxa"/>
          </w:tcPr>
          <w:p w:rsidR="00BC32DD" w:rsidRPr="00F0056F" w:rsidRDefault="00084BED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Aim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course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is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to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teach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design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synthesis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natural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synthetic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origin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active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ingredients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used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in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diagnosis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treatment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Central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nervous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system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disorders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generally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have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an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educational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concept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to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teach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basic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concepts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medicinal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chemistry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drug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groups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.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9C7F67" w:rsidRPr="00F0056F" w:rsidRDefault="009C7F67" w:rsidP="00832AEF">
            <w:pPr>
              <w:pStyle w:val="DersBasliklar"/>
              <w:rPr>
                <w:rFonts w:cs="Arial TUR"/>
                <w:bCs w:val="0"/>
                <w:i w:val="0"/>
                <w:szCs w:val="16"/>
                <w:shd w:val="clear" w:color="auto" w:fill="F6F6F6"/>
              </w:rPr>
            </w:pPr>
            <w:r w:rsidRPr="00F0056F">
              <w:rPr>
                <w:szCs w:val="16"/>
              </w:rPr>
              <w:t xml:space="preserve">Learning </w:t>
            </w:r>
            <w:proofErr w:type="spellStart"/>
            <w:r w:rsidRPr="00F0056F">
              <w:rPr>
                <w:szCs w:val="16"/>
              </w:rPr>
              <w:t>Outcomes</w:t>
            </w:r>
            <w:proofErr w:type="spellEnd"/>
          </w:p>
        </w:tc>
        <w:tc>
          <w:tcPr>
            <w:tcW w:w="7366" w:type="dxa"/>
          </w:tcPr>
          <w:p w:rsidR="009C7F67" w:rsidRPr="00F0056F" w:rsidRDefault="009C7F67" w:rsidP="00832AEF">
            <w:pPr>
              <w:pStyle w:val="DersBilgileri"/>
              <w:rPr>
                <w:rFonts w:cs="Arial TUR"/>
                <w:szCs w:val="16"/>
                <w:shd w:val="clear" w:color="auto" w:fill="F5F5F5"/>
              </w:rPr>
            </w:pPr>
            <w:r w:rsidRPr="00F0056F">
              <w:rPr>
                <w:rFonts w:cs="Arial TUR"/>
                <w:szCs w:val="16"/>
                <w:shd w:val="clear" w:color="auto" w:fill="F5F5F5"/>
              </w:rPr>
              <w:t xml:space="preserve">1)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Recognizes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basic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sciences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drug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. </w:t>
            </w:r>
            <w:r w:rsidRPr="00F0056F">
              <w:rPr>
                <w:rFonts w:cs="Arial TUR"/>
                <w:szCs w:val="16"/>
              </w:rPr>
              <w:br/>
            </w:r>
            <w:r w:rsidRPr="00F0056F">
              <w:rPr>
                <w:rFonts w:cs="Arial TUR"/>
                <w:szCs w:val="16"/>
                <w:shd w:val="clear" w:color="auto" w:fill="F5F5F5"/>
              </w:rPr>
              <w:t xml:space="preserve">2)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Knows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information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design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synthesis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analysis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pharmacokinetics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products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 </w:t>
            </w:r>
            <w:r w:rsidRPr="00F0056F">
              <w:rPr>
                <w:rFonts w:cs="Arial TUR"/>
                <w:szCs w:val="16"/>
              </w:rPr>
              <w:br/>
            </w:r>
            <w:r w:rsidRPr="00F0056F">
              <w:rPr>
                <w:rFonts w:cs="Arial TUR"/>
                <w:szCs w:val="16"/>
                <w:shd w:val="clear" w:color="auto" w:fill="F5F5F5"/>
              </w:rPr>
              <w:t xml:space="preserve">3)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Gives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consulting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teamwork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research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development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 </w:t>
            </w:r>
            <w:r w:rsidRPr="00F0056F">
              <w:rPr>
                <w:rFonts w:cs="Arial TUR"/>
                <w:szCs w:val="16"/>
              </w:rPr>
              <w:br/>
            </w:r>
            <w:r w:rsidRPr="00F0056F">
              <w:rPr>
                <w:rFonts w:cs="Arial TUR"/>
                <w:szCs w:val="16"/>
                <w:shd w:val="clear" w:color="auto" w:fill="F5F5F5"/>
              </w:rPr>
              <w:t xml:space="preserve">4)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Follows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developments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in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field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information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technology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in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order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to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increase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effectiveness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pharmacy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services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.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F200F9" w:rsidP="001A6404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szCs w:val="16"/>
                <w:shd w:val="clear" w:color="auto" w:fill="F5F5F5"/>
              </w:rPr>
              <w:t xml:space="preserve">Course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Duration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</w:p>
        </w:tc>
        <w:tc>
          <w:tcPr>
            <w:tcW w:w="7366" w:type="dxa"/>
          </w:tcPr>
          <w:p w:rsidR="00BC32DD" w:rsidRPr="00F0056F" w:rsidRDefault="001A6404" w:rsidP="001A6404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One</w:t>
            </w:r>
            <w:proofErr w:type="spellEnd"/>
            <w:r w:rsidRPr="00F0056F">
              <w:rPr>
                <w:szCs w:val="16"/>
              </w:rPr>
              <w:t xml:space="preserve"> </w:t>
            </w:r>
            <w:proofErr w:type="spellStart"/>
            <w:r w:rsidRPr="00F0056F">
              <w:rPr>
                <w:szCs w:val="16"/>
              </w:rPr>
              <w:t>Term</w:t>
            </w:r>
            <w:proofErr w:type="spellEnd"/>
            <w:r w:rsidRPr="00F0056F">
              <w:rPr>
                <w:szCs w:val="16"/>
              </w:rPr>
              <w:t xml:space="preserve"> (</w:t>
            </w:r>
            <w:proofErr w:type="spellStart"/>
            <w:r w:rsidRPr="00F0056F">
              <w:rPr>
                <w:szCs w:val="16"/>
              </w:rPr>
              <w:t>four</w:t>
            </w:r>
            <w:proofErr w:type="spellEnd"/>
            <w:r w:rsidRPr="00F0056F">
              <w:rPr>
                <w:szCs w:val="16"/>
              </w:rPr>
              <w:t xml:space="preserve"> </w:t>
            </w:r>
            <w:proofErr w:type="spellStart"/>
            <w:r w:rsidRPr="00F0056F">
              <w:rPr>
                <w:szCs w:val="16"/>
              </w:rPr>
              <w:t>hours</w:t>
            </w:r>
            <w:proofErr w:type="spellEnd"/>
            <w:r w:rsidRPr="00F0056F">
              <w:rPr>
                <w:szCs w:val="16"/>
              </w:rPr>
              <w:t>/</w:t>
            </w:r>
            <w:proofErr w:type="spellStart"/>
            <w:r w:rsidRPr="00F0056F">
              <w:rPr>
                <w:szCs w:val="16"/>
              </w:rPr>
              <w:t>week</w:t>
            </w:r>
            <w:proofErr w:type="spellEnd"/>
            <w:r w:rsidRPr="00F0056F">
              <w:rPr>
                <w:szCs w:val="16"/>
              </w:rPr>
              <w:t>)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Language of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Instruction</w:t>
            </w:r>
            <w:proofErr w:type="spellEnd"/>
          </w:p>
        </w:tc>
        <w:tc>
          <w:tcPr>
            <w:tcW w:w="7366" w:type="dxa"/>
          </w:tcPr>
          <w:p w:rsidR="00BC32DD" w:rsidRPr="00F0056F" w:rsidRDefault="00084BED" w:rsidP="00832AEF">
            <w:pPr>
              <w:pStyle w:val="DersBilgileri"/>
              <w:rPr>
                <w:szCs w:val="16"/>
              </w:rPr>
            </w:pPr>
            <w:r w:rsidRPr="00F0056F">
              <w:rPr>
                <w:szCs w:val="16"/>
              </w:rPr>
              <w:t>English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</w:tcPr>
          <w:p w:rsidR="00C7572E" w:rsidRPr="00F0056F" w:rsidRDefault="00C7572E" w:rsidP="00C7572E">
            <w:pPr>
              <w:jc w:val="left"/>
              <w:rPr>
                <w:rFonts w:cs="Arial TUR"/>
                <w:b/>
                <w:bCs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b/>
                <w:bCs/>
                <w:sz w:val="16"/>
                <w:szCs w:val="16"/>
              </w:rPr>
              <w:t>Prerequisites</w:t>
            </w:r>
            <w:proofErr w:type="spellEnd"/>
          </w:p>
        </w:tc>
        <w:tc>
          <w:tcPr>
            <w:tcW w:w="7366" w:type="dxa"/>
          </w:tcPr>
          <w:p w:rsidR="00C7572E" w:rsidRPr="00F0056F" w:rsidRDefault="00C7572E" w:rsidP="00C7572E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C7572E">
            <w:pPr>
              <w:pStyle w:val="DersBasliklar"/>
              <w:ind w:left="0"/>
              <w:rPr>
                <w:szCs w:val="16"/>
              </w:rPr>
            </w:pP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Recommended</w:t>
            </w:r>
            <w:proofErr w:type="spellEnd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Sources</w:t>
            </w:r>
            <w:proofErr w:type="spellEnd"/>
          </w:p>
        </w:tc>
        <w:tc>
          <w:tcPr>
            <w:tcW w:w="7366" w:type="dxa"/>
          </w:tcPr>
          <w:tbl>
            <w:tblPr>
              <w:tblW w:w="7459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9"/>
            </w:tblGrid>
            <w:tr w:rsidR="00F0056F" w:rsidRPr="00F0056F" w:rsidTr="00F0056F">
              <w:trPr>
                <w:trHeight w:val="12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Farmasötik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Kimya Hacettepe Üniversitesi Yayınları ISBN: 978-975-491-171-8 3. Baskı, Aralık 2013</w:t>
                  </w:r>
                </w:p>
              </w:tc>
            </w:tr>
            <w:tr w:rsidR="00F0056F" w:rsidRPr="00F0056F" w:rsidTr="00F0056F">
              <w:trPr>
                <w:trHeight w:val="250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Foye's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Principles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March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8, 2012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1609133455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978-1609133450 Edition: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Seventh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North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American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Edition</w:t>
                  </w:r>
                </w:p>
              </w:tc>
            </w:tr>
            <w:tr w:rsidR="00F0056F" w:rsidRPr="00F0056F" w:rsidTr="00F0056F">
              <w:trPr>
                <w:trHeight w:val="25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Burger's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Drug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Discovery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and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Development 7th Edition, 8 Volume Set ISBN: 978-0-470-27815-4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September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2010</w:t>
                  </w:r>
                </w:p>
              </w:tc>
            </w:tr>
            <w:tr w:rsidR="00F0056F" w:rsidRPr="00F0056F" w:rsidTr="00F0056F">
              <w:trPr>
                <w:trHeight w:val="25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Pharmaceutical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David G. Watson (Author)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February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18, 2011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0443072329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978-0443072321 Edition: 1</w:t>
                  </w:r>
                </w:p>
              </w:tc>
            </w:tr>
            <w:tr w:rsidR="00F0056F" w:rsidRPr="00F0056F" w:rsidTr="00F0056F">
              <w:trPr>
                <w:trHeight w:val="250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Wilson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and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Gisvold's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Textbook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Organic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and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Pharmaceutical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March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2, 2010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0781779294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978-0781779296 Edition: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Twelfth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North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American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Edition</w:t>
                  </w:r>
                </w:p>
              </w:tc>
            </w:tr>
          </w:tbl>
          <w:p w:rsidR="00BC32DD" w:rsidRPr="00F0056F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9C7F67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r w:rsidRPr="00F0056F">
              <w:rPr>
                <w:szCs w:val="16"/>
              </w:rPr>
              <w:t xml:space="preserve">ECTS </w:t>
            </w:r>
            <w:proofErr w:type="spellStart"/>
            <w:r w:rsidRPr="00F0056F">
              <w:rPr>
                <w:szCs w:val="16"/>
              </w:rPr>
              <w:t>Credits</w:t>
            </w:r>
            <w:proofErr w:type="spellEnd"/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r w:rsidRPr="00F0056F">
              <w:rPr>
                <w:rFonts w:cs="Arial TUR"/>
                <w:sz w:val="16"/>
                <w:szCs w:val="16"/>
              </w:rPr>
              <w:t>5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C7572E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proofErr w:type="spellStart"/>
            <w:r w:rsidRPr="00F0056F">
              <w:rPr>
                <w:szCs w:val="16"/>
              </w:rPr>
              <w:t>Practise</w:t>
            </w:r>
            <w:proofErr w:type="spellEnd"/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C7572E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r w:rsidRPr="00F0056F">
              <w:rPr>
                <w:szCs w:val="16"/>
              </w:rPr>
              <w:t>Other-1</w:t>
            </w:r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</w:tbl>
    <w:p w:rsidR="00BC32DD" w:rsidRPr="00F0056F" w:rsidRDefault="00BC32DD" w:rsidP="004A0310">
      <w:pPr>
        <w:rPr>
          <w:sz w:val="16"/>
          <w:szCs w:val="16"/>
        </w:rPr>
      </w:pPr>
      <w:bookmarkStart w:id="0" w:name="_GoBack"/>
      <w:bookmarkEnd w:id="0"/>
    </w:p>
    <w:sectPr w:rsidR="00BC32DD" w:rsidRPr="00F0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BED"/>
    <w:rsid w:val="000A48ED"/>
    <w:rsid w:val="000A5368"/>
    <w:rsid w:val="001A6404"/>
    <w:rsid w:val="004A0310"/>
    <w:rsid w:val="00820743"/>
    <w:rsid w:val="00832BE3"/>
    <w:rsid w:val="008D7F6C"/>
    <w:rsid w:val="009C7F67"/>
    <w:rsid w:val="00BC32DD"/>
    <w:rsid w:val="00C7572E"/>
    <w:rsid w:val="00F0056F"/>
    <w:rsid w:val="00F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07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74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ALAGÖZ</dc:creator>
  <cp:keywords/>
  <dc:description/>
  <cp:lastModifiedBy>Zeynep ALAGÖZ</cp:lastModifiedBy>
  <cp:revision>9</cp:revision>
  <cp:lastPrinted>2017-12-08T08:27:00Z</cp:lastPrinted>
  <dcterms:created xsi:type="dcterms:W3CDTF">2017-12-08T08:27:00Z</dcterms:created>
  <dcterms:modified xsi:type="dcterms:W3CDTF">2017-12-11T06:34:00Z</dcterms:modified>
</cp:coreProperties>
</file>