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E34D33">
        <w:rPr>
          <w:b/>
          <w:sz w:val="22"/>
          <w:szCs w:val="16"/>
        </w:rPr>
        <w:t>2</w:t>
      </w:r>
      <w:r w:rsidRPr="006E6421">
        <w:rPr>
          <w:b/>
          <w:sz w:val="22"/>
          <w:szCs w:val="16"/>
        </w:rPr>
        <w:t xml:space="preserve">: </w:t>
      </w:r>
      <w:r w:rsidR="00B77DC2">
        <w:rPr>
          <w:b/>
          <w:sz w:val="22"/>
          <w:szCs w:val="16"/>
        </w:rPr>
        <w:t xml:space="preserve">Deney Tasarımı: </w:t>
      </w:r>
      <w:r w:rsidR="009537E6">
        <w:rPr>
          <w:b/>
          <w:sz w:val="22"/>
          <w:szCs w:val="16"/>
        </w:rPr>
        <w:t>Adsorpsiyon Hızı ve/veya Dengesi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1.</w:t>
      </w:r>
      <w:r w:rsidRPr="009537E6">
        <w:rPr>
          <w:sz w:val="24"/>
        </w:rPr>
        <w:t xml:space="preserve"> Sarıkaya, Y., 1997. Fizikokimya, Genişletilmiş 2. baskı, Gazi Büro Kitabevi, Ankara.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2.</w:t>
      </w:r>
      <w:r w:rsidRPr="009537E6">
        <w:rPr>
          <w:sz w:val="24"/>
        </w:rPr>
        <w:t xml:space="preserve"> Gregg, S.J. ve Sing, K.S.W., 1982. Adsorpsiyon, surface area and porosity, Academic Press, London, New York.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3.</w:t>
      </w:r>
      <w:r w:rsidRPr="009537E6">
        <w:rPr>
          <w:sz w:val="24"/>
        </w:rPr>
        <w:t xml:space="preserve"> Smith, J.M.,   1981 . Chemical  Engineering Kinetics,  3. Baskı, McGraw-Hill, Tokyo.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4.</w:t>
      </w:r>
      <w:r w:rsidRPr="009537E6">
        <w:rPr>
          <w:sz w:val="24"/>
        </w:rPr>
        <w:t xml:space="preserve">  Mahajan, O.P. ve Walker,Jr., P.L., 1978. Porosity of coals and coal products, Ed., Karr, Jr., C.,  Chap. 4, Academic Press, New York,  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5.</w:t>
      </w:r>
      <w:r w:rsidRPr="009537E6">
        <w:rPr>
          <w:sz w:val="24"/>
        </w:rPr>
        <w:t xml:space="preserve"> Mc Cabe, W.L.,  Smith, C.J., ve Harriott, P., 2001. Unit Operations in Chemical Engineering, 6. Baskı, McGraw-Hill, New York.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6.</w:t>
      </w:r>
      <w:r w:rsidRPr="009537E6">
        <w:rPr>
          <w:sz w:val="24"/>
        </w:rPr>
        <w:t xml:space="preserve"> Perry,  R.H., and  Green, D. , 1984. Perry’s Chemical Engineers’ Handbook, 6. Baskı, McGraw-Hill, New York. 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7.</w:t>
      </w:r>
      <w:r w:rsidRPr="009537E6">
        <w:rPr>
          <w:sz w:val="24"/>
        </w:rPr>
        <w:t xml:space="preserve"> Seader, J.D. ve Henley, E.J.,1998. Separation Process Principles, John Wiley &amp; Sons, New York.</w:t>
      </w:r>
    </w:p>
    <w:p w:rsidR="009537E6" w:rsidRPr="009537E6" w:rsidRDefault="009537E6" w:rsidP="009537E6">
      <w:pPr>
        <w:ind w:left="284" w:hanging="284"/>
        <w:rPr>
          <w:sz w:val="24"/>
        </w:rPr>
      </w:pPr>
      <w:r w:rsidRPr="009537E6">
        <w:rPr>
          <w:b/>
          <w:sz w:val="24"/>
        </w:rPr>
        <w:t>8.</w:t>
      </w:r>
      <w:r w:rsidRPr="009537E6">
        <w:rPr>
          <w:sz w:val="24"/>
        </w:rPr>
        <w:t xml:space="preserve"> Treybol, R.E., 1985. Mass Transfer Operations, 3. Baskı, McGraw-Hill, Auckland.</w:t>
      </w:r>
    </w:p>
    <w:p w:rsidR="009537E6" w:rsidRDefault="009537E6" w:rsidP="009537E6">
      <w:pPr>
        <w:ind w:left="284" w:hanging="284"/>
        <w:rPr>
          <w:sz w:val="24"/>
        </w:rPr>
      </w:pPr>
      <w:r>
        <w:rPr>
          <w:b/>
          <w:sz w:val="24"/>
        </w:rPr>
        <w:t>9.</w:t>
      </w:r>
      <w:r>
        <w:rPr>
          <w:sz w:val="24"/>
        </w:rPr>
        <w:t xml:space="preserve"> Levenspiel, O., 1999. Chemical Reaction Engineering, 3. Baskı, John Wiley &amp; Sons, New York.</w:t>
      </w:r>
    </w:p>
    <w:p w:rsidR="009537E6" w:rsidRDefault="009537E6" w:rsidP="009537E6">
      <w:pPr>
        <w:ind w:left="284" w:hanging="284"/>
        <w:rPr>
          <w:sz w:val="24"/>
        </w:rPr>
      </w:pPr>
      <w:r>
        <w:rPr>
          <w:b/>
          <w:sz w:val="24"/>
        </w:rPr>
        <w:t>10.</w:t>
      </w:r>
      <w:r>
        <w:rPr>
          <w:sz w:val="24"/>
        </w:rPr>
        <w:t xml:space="preserve"> Fogler, H.S., 2016. Elements of Chemical Reaction Engineering, 5. Baskı, Prentice Hall Int.New Jersey.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DF1D52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A48ED"/>
    <w:rsid w:val="001B6315"/>
    <w:rsid w:val="001E0164"/>
    <w:rsid w:val="00231FA0"/>
    <w:rsid w:val="0028638C"/>
    <w:rsid w:val="003C2EB3"/>
    <w:rsid w:val="00492C3D"/>
    <w:rsid w:val="004C362D"/>
    <w:rsid w:val="005D2EB8"/>
    <w:rsid w:val="00613B0A"/>
    <w:rsid w:val="006E6421"/>
    <w:rsid w:val="007977B5"/>
    <w:rsid w:val="007D7402"/>
    <w:rsid w:val="00832BE3"/>
    <w:rsid w:val="008C7723"/>
    <w:rsid w:val="009537E6"/>
    <w:rsid w:val="00974151"/>
    <w:rsid w:val="00A56EF3"/>
    <w:rsid w:val="00B70B89"/>
    <w:rsid w:val="00B77DC2"/>
    <w:rsid w:val="00BC32DD"/>
    <w:rsid w:val="00C12884"/>
    <w:rsid w:val="00D27277"/>
    <w:rsid w:val="00DF1D52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4</cp:revision>
  <dcterms:created xsi:type="dcterms:W3CDTF">2017-12-13T12:56:00Z</dcterms:created>
  <dcterms:modified xsi:type="dcterms:W3CDTF">2017-12-13T13:11:00Z</dcterms:modified>
</cp:coreProperties>
</file>