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C76" w:rsidRPr="00334860" w:rsidRDefault="00E05C76" w:rsidP="00E05C76">
      <w:pPr>
        <w:spacing w:line="240" w:lineRule="auto"/>
        <w:ind w:left="1440"/>
        <w:jc w:val="center"/>
        <w:rPr>
          <w:rFonts w:ascii="Arial" w:hAnsi="Arial" w:cs="Arial"/>
          <w:b/>
          <w:sz w:val="24"/>
          <w:szCs w:val="24"/>
          <w:u w:val="single"/>
        </w:rPr>
      </w:pPr>
      <w:r w:rsidRPr="00334860">
        <w:rPr>
          <w:rFonts w:ascii="Arial" w:hAnsi="Arial" w:cs="Arial"/>
          <w:b/>
          <w:sz w:val="24"/>
          <w:szCs w:val="24"/>
          <w:u w:val="single"/>
        </w:rPr>
        <w:t>KOLEKTİF ŞİRKET</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En az 2 gerçek kişi kurar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bookmarkStart w:id="0" w:name="_GoBack"/>
      <w:r w:rsidRPr="00334860">
        <w:rPr>
          <w:rFonts w:ascii="Arial" w:hAnsi="Arial" w:cs="Arial"/>
          <w:sz w:val="24"/>
          <w:szCs w:val="24"/>
        </w:rPr>
        <w:t>Şahıs şirketi ve ticaret şirketi</w:t>
      </w:r>
    </w:p>
    <w:bookmarkEnd w:id="0"/>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Ticari işletme işletir.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Şirket tüzel kişiliği tacir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 xml:space="preserve">Ortaklar tacir olmadığı halde </w:t>
      </w:r>
      <w:proofErr w:type="spellStart"/>
      <w:r w:rsidRPr="00334860">
        <w:rPr>
          <w:rFonts w:ascii="Arial" w:hAnsi="Arial" w:cs="Arial"/>
          <w:sz w:val="24"/>
          <w:szCs w:val="24"/>
        </w:rPr>
        <w:t>ististai</w:t>
      </w:r>
      <w:proofErr w:type="spellEnd"/>
      <w:r w:rsidRPr="00334860">
        <w:rPr>
          <w:rFonts w:ascii="Arial" w:hAnsi="Arial" w:cs="Arial"/>
          <w:sz w:val="24"/>
          <w:szCs w:val="24"/>
        </w:rPr>
        <w:t xml:space="preserve"> olarak şirket borcundan dolayı iflasa tabidir.</w:t>
      </w:r>
    </w:p>
    <w:p w:rsidR="00E05C76" w:rsidRPr="00334860" w:rsidRDefault="00E05C76" w:rsidP="00E05C76">
      <w:pPr>
        <w:pStyle w:val="ListeParagraf"/>
        <w:numPr>
          <w:ilvl w:val="0"/>
          <w:numId w:val="2"/>
        </w:numPr>
        <w:spacing w:line="240" w:lineRule="auto"/>
        <w:rPr>
          <w:rFonts w:ascii="Arial" w:hAnsi="Arial" w:cs="Arial"/>
          <w:b/>
          <w:sz w:val="24"/>
          <w:szCs w:val="24"/>
          <w:u w:val="single"/>
        </w:rPr>
      </w:pPr>
      <w:r w:rsidRPr="00334860">
        <w:rPr>
          <w:rFonts w:ascii="Arial" w:hAnsi="Arial" w:cs="Arial"/>
          <w:sz w:val="24"/>
          <w:szCs w:val="24"/>
        </w:rPr>
        <w:t>Ortaklar -2.dereceden dolaylı sınırsınız müteselsil sorumludur.</w:t>
      </w:r>
    </w:p>
    <w:p w:rsidR="00E05C76" w:rsidRPr="00334860" w:rsidRDefault="00E05C76" w:rsidP="00E05C76">
      <w:pPr>
        <w:pStyle w:val="ListeParagraf"/>
        <w:numPr>
          <w:ilvl w:val="0"/>
          <w:numId w:val="2"/>
        </w:numPr>
        <w:spacing w:line="240" w:lineRule="auto"/>
        <w:rPr>
          <w:rFonts w:ascii="Arial" w:hAnsi="Arial" w:cs="Arial"/>
          <w:sz w:val="24"/>
          <w:szCs w:val="24"/>
        </w:rPr>
      </w:pPr>
      <w:r w:rsidRPr="00334860">
        <w:rPr>
          <w:rFonts w:ascii="Arial" w:hAnsi="Arial" w:cs="Arial"/>
          <w:sz w:val="24"/>
          <w:szCs w:val="24"/>
        </w:rPr>
        <w:t xml:space="preserve">SONA </w:t>
      </w:r>
      <w:proofErr w:type="gramStart"/>
      <w:r w:rsidRPr="00334860">
        <w:rPr>
          <w:rFonts w:ascii="Arial" w:hAnsi="Arial" w:cs="Arial"/>
          <w:sz w:val="24"/>
          <w:szCs w:val="24"/>
        </w:rPr>
        <w:t>ERME :</w:t>
      </w:r>
      <w:proofErr w:type="gramEnd"/>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544"/>
      </w:tblGrid>
      <w:tr w:rsidR="00E05C76" w:rsidRPr="00334860" w:rsidTr="002A66C2">
        <w:tc>
          <w:tcPr>
            <w:tcW w:w="3544" w:type="dxa"/>
            <w:shd w:val="clear" w:color="auto" w:fill="808080" w:themeFill="background1" w:themeFillShade="80"/>
          </w:tcPr>
          <w:p w:rsidR="00E05C76" w:rsidRPr="00334860" w:rsidRDefault="00E05C76" w:rsidP="002A66C2">
            <w:pPr>
              <w:spacing w:before="120" w:after="120" w:line="240" w:lineRule="auto"/>
              <w:ind w:firstLine="426"/>
              <w:jc w:val="both"/>
              <w:rPr>
                <w:rFonts w:ascii="Arial" w:hAnsi="Arial" w:cs="Arial"/>
                <w:b/>
                <w:bCs/>
                <w:color w:val="000000" w:themeColor="text1"/>
                <w:sz w:val="24"/>
                <w:szCs w:val="24"/>
              </w:rPr>
            </w:pPr>
            <w:r w:rsidRPr="00334860">
              <w:rPr>
                <w:rFonts w:ascii="Arial" w:hAnsi="Arial" w:cs="Arial"/>
                <w:b/>
                <w:bCs/>
                <w:color w:val="000000" w:themeColor="text1"/>
                <w:sz w:val="24"/>
                <w:szCs w:val="24"/>
              </w:rPr>
              <w:t>İnfisah (Kendiliğinden)</w:t>
            </w:r>
          </w:p>
        </w:tc>
        <w:tc>
          <w:tcPr>
            <w:tcW w:w="3544" w:type="dxa"/>
            <w:shd w:val="clear" w:color="auto" w:fill="808080" w:themeFill="background1" w:themeFillShade="80"/>
          </w:tcPr>
          <w:p w:rsidR="00E05C76" w:rsidRPr="00334860" w:rsidRDefault="00E05C76" w:rsidP="002A66C2">
            <w:pPr>
              <w:spacing w:before="120" w:after="120" w:line="240" w:lineRule="auto"/>
              <w:ind w:firstLine="426"/>
              <w:jc w:val="both"/>
              <w:rPr>
                <w:rFonts w:ascii="Arial" w:hAnsi="Arial" w:cs="Arial"/>
                <w:b/>
                <w:bCs/>
                <w:color w:val="000000" w:themeColor="text1"/>
                <w:sz w:val="24"/>
                <w:szCs w:val="24"/>
              </w:rPr>
            </w:pPr>
            <w:r w:rsidRPr="00334860">
              <w:rPr>
                <w:rFonts w:ascii="Arial" w:hAnsi="Arial" w:cs="Arial"/>
                <w:b/>
                <w:bCs/>
                <w:color w:val="000000" w:themeColor="text1"/>
                <w:sz w:val="24"/>
                <w:szCs w:val="24"/>
              </w:rPr>
              <w:t>Fesih (İradi)</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 sözleşmesinde öngörülen amacın gerçekleşmesi</w:t>
            </w:r>
          </w:p>
        </w:tc>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Ortakların tümünün oybirliği ile vereceği kararla</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Amacın gerçekleşmesinin imkânsız bir hal almış olması</w:t>
            </w:r>
          </w:p>
        </w:tc>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Şirketin belirsiz süreli olması durumunda, her ortak 6 ay önceden bildirmek koşuluyla şirketin feshini isteyebilir</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 xml:space="preserve">Sözleşmede mirasçılarla devama ilişkin bir karara </w:t>
            </w:r>
            <w:proofErr w:type="gramStart"/>
            <w:r w:rsidRPr="00334860">
              <w:rPr>
                <w:rFonts w:ascii="Arial" w:hAnsi="Arial" w:cs="Arial"/>
                <w:color w:val="000000"/>
                <w:sz w:val="24"/>
                <w:szCs w:val="24"/>
              </w:rPr>
              <w:t>yoksa,</w:t>
            </w:r>
            <w:proofErr w:type="gramEnd"/>
            <w:r w:rsidRPr="00334860">
              <w:rPr>
                <w:rFonts w:ascii="Arial" w:hAnsi="Arial" w:cs="Arial"/>
                <w:color w:val="000000"/>
                <w:sz w:val="24"/>
                <w:szCs w:val="24"/>
              </w:rPr>
              <w:t xml:space="preserve"> ortaklardan birinin ölümü</w:t>
            </w:r>
          </w:p>
        </w:tc>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Haklı neden varsa her ortak mahkemeden şirketin feshini isteyebilir</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Ortağın kısıtlanması</w:t>
            </w:r>
          </w:p>
        </w:tc>
        <w:tc>
          <w:tcPr>
            <w:tcW w:w="3544" w:type="dxa"/>
            <w:vMerge w:val="restart"/>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Ortağın şahsi alacaklısı, alacağını borçlunun şirket dışı kişisel mallarından ve şirketteki kâr payından alamadığı takdirde, ortağın tasfiye payına haciz koydurmaya ve altı ay önce ihbar etmek koşuluyla şirketin feshini mahkemeden istemeye yetkilidir.</w:t>
            </w: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Ortağın iflası</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Ortağın tasfiye payının cebri icrayla paraya çevrilmesi</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 süresinin sona ermesi</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rPr>
          <w:trHeight w:val="703"/>
        </w:trPr>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Konkordato ile neticelenmiş olsa bile şirketin iflası</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rPr>
          <w:trHeight w:val="703"/>
        </w:trPr>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Şirketin bir diğer şirketle birleşmesi</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r w:rsidR="00E05C76" w:rsidRPr="00334860" w:rsidTr="002A66C2">
        <w:trPr>
          <w:trHeight w:val="703"/>
        </w:trPr>
        <w:tc>
          <w:tcPr>
            <w:tcW w:w="3544" w:type="dxa"/>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r w:rsidRPr="00334860">
              <w:rPr>
                <w:rFonts w:ascii="Arial" w:hAnsi="Arial" w:cs="Arial"/>
                <w:color w:val="000000"/>
                <w:sz w:val="24"/>
                <w:szCs w:val="24"/>
              </w:rPr>
              <w:t>Şirket sermayesinin tamamı veya 2/3’ü zayi olup da tamamlanmasına veya geri kalan kısmı ile devama karar verilmemişse</w:t>
            </w:r>
          </w:p>
        </w:tc>
        <w:tc>
          <w:tcPr>
            <w:tcW w:w="3544" w:type="dxa"/>
            <w:vMerge/>
            <w:shd w:val="clear" w:color="auto" w:fill="D9D9D9"/>
          </w:tcPr>
          <w:p w:rsidR="00E05C76" w:rsidRPr="00334860" w:rsidRDefault="00E05C76" w:rsidP="002A66C2">
            <w:pPr>
              <w:spacing w:before="120" w:after="120" w:line="240" w:lineRule="auto"/>
              <w:jc w:val="both"/>
              <w:rPr>
                <w:rFonts w:ascii="Arial" w:hAnsi="Arial" w:cs="Arial"/>
                <w:color w:val="000000"/>
                <w:sz w:val="24"/>
                <w:szCs w:val="24"/>
              </w:rPr>
            </w:pPr>
          </w:p>
        </w:tc>
      </w:tr>
    </w:tbl>
    <w:p w:rsidR="00E05C76" w:rsidRPr="00334860" w:rsidRDefault="00E05C76" w:rsidP="00E05C76">
      <w:pPr>
        <w:pStyle w:val="ListeParagraf"/>
        <w:spacing w:line="240" w:lineRule="auto"/>
        <w:ind w:left="1800"/>
        <w:rPr>
          <w:rFonts w:ascii="Arial" w:hAnsi="Arial" w:cs="Arial"/>
          <w:sz w:val="24"/>
          <w:szCs w:val="24"/>
        </w:rPr>
      </w:pPr>
    </w:p>
    <w:p w:rsidR="00E05C76" w:rsidRPr="00334860" w:rsidRDefault="00E05C76" w:rsidP="00E05C76">
      <w:pPr>
        <w:pStyle w:val="ListeParagraf"/>
        <w:spacing w:line="240" w:lineRule="auto"/>
        <w:ind w:left="1800"/>
        <w:rPr>
          <w:rFonts w:ascii="Arial" w:hAnsi="Arial" w:cs="Arial"/>
          <w:sz w:val="24"/>
          <w:szCs w:val="24"/>
        </w:rPr>
      </w:pPr>
      <w:r w:rsidRPr="00334860">
        <w:rPr>
          <w:rFonts w:ascii="Arial" w:hAnsi="Arial" w:cs="Arial"/>
          <w:sz w:val="24"/>
          <w:szCs w:val="24"/>
        </w:rPr>
        <w:t>.</w:t>
      </w:r>
    </w:p>
    <w:p w:rsidR="00E05C76" w:rsidRPr="00334860" w:rsidRDefault="00E05C76" w:rsidP="00E05C76">
      <w:pPr>
        <w:pStyle w:val="ListeParagraf"/>
        <w:spacing w:line="240" w:lineRule="auto"/>
        <w:ind w:left="1800"/>
        <w:jc w:val="center"/>
        <w:rPr>
          <w:rFonts w:ascii="Arial" w:hAnsi="Arial" w:cs="Arial"/>
          <w:sz w:val="24"/>
          <w:szCs w:val="24"/>
        </w:rPr>
      </w:pPr>
      <w:r w:rsidRPr="00334860">
        <w:rPr>
          <w:rFonts w:ascii="Arial" w:hAnsi="Arial" w:cs="Arial"/>
          <w:b/>
          <w:sz w:val="24"/>
          <w:szCs w:val="24"/>
          <w:u w:val="single"/>
        </w:rPr>
        <w:t>ADİ KOMANDİT ŞİRKET</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Ticari işletme işletir.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Şahıs şirketidir.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lastRenderedPageBreak/>
        <w:t>Kolektif şirkete çok benzer.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2 grup ortak vardır.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Komanditerler giderse kolektif şirkete dönüşür.</w:t>
      </w:r>
    </w:p>
    <w:p w:rsidR="00E05C76" w:rsidRPr="00334860" w:rsidRDefault="00E05C76" w:rsidP="00E05C76">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Sadece komanditer kalırsa; şirket sona erer.</w:t>
      </w:r>
    </w:p>
    <w:p w:rsidR="00BE474F" w:rsidRDefault="00BE474F"/>
    <w:sectPr w:rsidR="00BE4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BC56E0"/>
    <w:multiLevelType w:val="hybridMultilevel"/>
    <w:tmpl w:val="232CA4C2"/>
    <w:lvl w:ilvl="0" w:tplc="0E16D68A">
      <w:start w:val="1"/>
      <w:numFmt w:val="decimal"/>
      <w:lvlText w:val="%1-"/>
      <w:lvlJc w:val="left"/>
      <w:pPr>
        <w:ind w:left="1800" w:hanging="360"/>
      </w:pPr>
      <w:rPr>
        <w:rFonts w:hint="default"/>
        <w:b w:val="0"/>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
    <w:nsid w:val="70A66E6A"/>
    <w:multiLevelType w:val="hybridMultilevel"/>
    <w:tmpl w:val="99F265A8"/>
    <w:lvl w:ilvl="0" w:tplc="540E35B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54"/>
    <w:rsid w:val="00025854"/>
    <w:rsid w:val="001B5A63"/>
    <w:rsid w:val="001F10CA"/>
    <w:rsid w:val="00BE474F"/>
    <w:rsid w:val="00E05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C0DC5-C081-4698-BC17-7FF5BF25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76"/>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05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2017-12-27T21:11:00Z</dcterms:created>
  <dcterms:modified xsi:type="dcterms:W3CDTF">2017-12-27T21:11:00Z</dcterms:modified>
</cp:coreProperties>
</file>