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FB" w:rsidRPr="00334860" w:rsidRDefault="002052FB" w:rsidP="002052FB">
      <w:pPr>
        <w:shd w:val="clear" w:color="auto" w:fill="F2F2F2"/>
        <w:spacing w:before="60"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34860">
        <w:rPr>
          <w:rFonts w:ascii="Arial" w:hAnsi="Arial" w:cs="Arial"/>
          <w:b/>
          <w:bCs/>
          <w:color w:val="000000"/>
          <w:sz w:val="24"/>
          <w:szCs w:val="24"/>
        </w:rPr>
        <w:t>KAMBİYO SENETLERİNE BENZEYEN SENETLER</w:t>
      </w:r>
    </w:p>
    <w:p w:rsidR="002052FB" w:rsidRPr="00334860" w:rsidRDefault="002052FB" w:rsidP="002052FB">
      <w:pPr>
        <w:shd w:val="clear" w:color="auto" w:fill="F2F2F2"/>
        <w:spacing w:before="60"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52FB" w:rsidRPr="00334860" w:rsidRDefault="002052FB" w:rsidP="002052FB">
      <w:pPr>
        <w:spacing w:before="60"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</w:tblGrid>
      <w:tr w:rsidR="002052FB" w:rsidRPr="00334860" w:rsidTr="00A82EF6">
        <w:tc>
          <w:tcPr>
            <w:tcW w:w="3544" w:type="dxa"/>
            <w:shd w:val="clear" w:color="auto" w:fill="000000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334860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Emre Yazılı Havale</w:t>
            </w:r>
          </w:p>
        </w:tc>
        <w:tc>
          <w:tcPr>
            <w:tcW w:w="3544" w:type="dxa"/>
            <w:shd w:val="clear" w:color="auto" w:fill="000000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334860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Emre Yazılı Ödeme Vaadi</w:t>
            </w:r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Senet metninde poliçe olarak gösterilmemekle beraber, açıkça emre yazılı olarak düzenlenen ve diğer hususlarda da poliçede aranılan unsurları içeren havaleler poliçe hükmündedir.</w:t>
            </w:r>
          </w:p>
        </w:tc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Senet metninde bono olarak gösterilmemekle beraber, açıkça emre yazılı olarak düzenlenmiş olan ve bonoda aranılan diğer unsurları da içeren ödeme vaatleri, bono hükmündedir.</w:t>
            </w:r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Emre yazılı havale kabul için ibraz edilemez.</w:t>
            </w:r>
          </w:p>
        </w:tc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Emre yazılı olarak düzenlenmiş olan ödeme </w:t>
            </w:r>
            <w:proofErr w:type="spellStart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vaadleri</w:t>
            </w:r>
            <w:proofErr w:type="spellEnd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 hakkında, araya girerek ödemeye ilişkin hükümler uygulanmaz.</w:t>
            </w:r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Bir şekilde kabul için ibraz edilir ve kabulden de </w:t>
            </w:r>
            <w:proofErr w:type="spellStart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kaçınılırsahamilin</w:t>
            </w:r>
            <w:proofErr w:type="spellEnd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 bu sebepten dolayı başvurma hakkı yoktur.</w:t>
            </w:r>
          </w:p>
        </w:tc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İcra ve İflas Kanununun, çekler, poliçeler ve emre yazılı senetlerden bonoların takibine ilişkin hükümleri, emre yazılı olarak düzenlenmiş bulunan ödeme vaatlerine uygulanmaz.</w:t>
            </w:r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Emre yazılı bir havalenin, havale olunan tarafından isteğe bağlı olarak kabulü poliçenin kabulü hükmündedir.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Bu senetler hakkında, cironun </w:t>
            </w:r>
            <w:proofErr w:type="spellStart"/>
            <w:proofErr w:type="gramStart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şekli,hamilin</w:t>
            </w:r>
            <w:proofErr w:type="spellEnd"/>
            <w:proofErr w:type="gramEnd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 hak sahipliği ve senedi elinde bulunduranın onu geri vermekle yükümlü olması hususlarında, poliçelere ilişkin hükümler geçerlidir</w:t>
            </w:r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Hamil, havale olunan kişi iflas etmiş veya bir ilamla ispatlanmamış olsa bile ödemelerini tatil etmiş veya aleyhine yapılan takip semeresiz kalmışsa, vadenin gelmesinden önce başvurma hakkını kullanamaz.</w:t>
            </w:r>
          </w:p>
        </w:tc>
        <w:tc>
          <w:tcPr>
            <w:tcW w:w="3544" w:type="dxa"/>
            <w:vMerge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İcra ve İflas Kanununun, çekler, poliçeler ve emre yazılı </w:t>
            </w:r>
            <w:proofErr w:type="spellStart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senetlerdenbonoların</w:t>
            </w:r>
            <w:proofErr w:type="spellEnd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 takibine ilişkin hükümleri emre yazılı havaleye uygulanamaz.</w:t>
            </w:r>
          </w:p>
        </w:tc>
        <w:tc>
          <w:tcPr>
            <w:tcW w:w="3544" w:type="dxa"/>
            <w:vMerge/>
            <w:shd w:val="clear" w:color="auto" w:fill="D9D9D9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052FB" w:rsidRPr="00334860" w:rsidRDefault="002052FB" w:rsidP="002052FB">
      <w:pPr>
        <w:spacing w:before="60" w:line="240" w:lineRule="auto"/>
        <w:ind w:firstLine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52FB" w:rsidRPr="00334860" w:rsidRDefault="002052FB" w:rsidP="002052F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34860"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:rsidR="002052FB" w:rsidRPr="00334860" w:rsidRDefault="002052FB" w:rsidP="002052FB">
      <w:pPr>
        <w:shd w:val="clear" w:color="auto" w:fill="F2F2F2"/>
        <w:spacing w:before="6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52FB" w:rsidRPr="00334860" w:rsidRDefault="002052FB" w:rsidP="002052FB">
      <w:pPr>
        <w:shd w:val="clear" w:color="auto" w:fill="F2F2F2"/>
        <w:spacing w:before="6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34860">
        <w:rPr>
          <w:rFonts w:ascii="Arial" w:hAnsi="Arial" w:cs="Arial"/>
          <w:b/>
          <w:bCs/>
          <w:color w:val="000000"/>
          <w:sz w:val="24"/>
          <w:szCs w:val="24"/>
        </w:rPr>
        <w:t>§ 8- VARANT VE MAKBUZ SENEDİ</w:t>
      </w:r>
    </w:p>
    <w:p w:rsidR="002052FB" w:rsidRPr="00334860" w:rsidRDefault="002052FB" w:rsidP="002052FB">
      <w:pPr>
        <w:shd w:val="clear" w:color="auto" w:fill="F2F2F2"/>
        <w:spacing w:before="6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52FB" w:rsidRPr="00334860" w:rsidRDefault="002052FB" w:rsidP="002052FB">
      <w:pPr>
        <w:spacing w:before="60" w:after="12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2052FB" w:rsidRPr="00334860" w:rsidRDefault="002052FB" w:rsidP="002052FB">
      <w:pPr>
        <w:spacing w:before="60" w:after="12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34860">
        <w:rPr>
          <w:rFonts w:ascii="Arial" w:hAnsi="Arial" w:cs="Arial"/>
          <w:color w:val="000000"/>
          <w:sz w:val="24"/>
          <w:szCs w:val="24"/>
        </w:rPr>
        <w:t xml:space="preserve">TTK </w:t>
      </w:r>
      <w:proofErr w:type="spellStart"/>
      <w:r w:rsidRPr="00334860">
        <w:rPr>
          <w:rFonts w:ascii="Arial" w:hAnsi="Arial" w:cs="Arial"/>
          <w:color w:val="000000"/>
          <w:sz w:val="24"/>
          <w:szCs w:val="24"/>
        </w:rPr>
        <w:t>md.</w:t>
      </w:r>
      <w:proofErr w:type="spellEnd"/>
      <w:r w:rsidRPr="00334860">
        <w:rPr>
          <w:rFonts w:ascii="Arial" w:hAnsi="Arial" w:cs="Arial"/>
          <w:color w:val="000000"/>
          <w:sz w:val="24"/>
          <w:szCs w:val="24"/>
        </w:rPr>
        <w:t xml:space="preserve"> 832’ye göre; makbuz senedi ve </w:t>
      </w:r>
      <w:proofErr w:type="spellStart"/>
      <w:r w:rsidRPr="00334860">
        <w:rPr>
          <w:rFonts w:ascii="Arial" w:hAnsi="Arial" w:cs="Arial"/>
          <w:color w:val="000000"/>
          <w:sz w:val="24"/>
          <w:szCs w:val="24"/>
        </w:rPr>
        <w:t>varant</w:t>
      </w:r>
      <w:proofErr w:type="spellEnd"/>
      <w:r w:rsidRPr="00334860">
        <w:rPr>
          <w:rFonts w:ascii="Arial" w:hAnsi="Arial" w:cs="Arial"/>
          <w:color w:val="000000"/>
          <w:sz w:val="24"/>
          <w:szCs w:val="24"/>
        </w:rPr>
        <w:t xml:space="preserve"> verme karşılığında serbest veya gümrüklenmemiş mal ve hububatı, saklama sözleşmesi uyarınca kabul etmek ve tevdi edenlere de bu senetlerle tevdi olunan mal ve hububatı satabilmek veya </w:t>
      </w:r>
      <w:proofErr w:type="spellStart"/>
      <w:r w:rsidRPr="00334860">
        <w:rPr>
          <w:rFonts w:ascii="Arial" w:hAnsi="Arial" w:cs="Arial"/>
          <w:color w:val="000000"/>
          <w:sz w:val="24"/>
          <w:szCs w:val="24"/>
        </w:rPr>
        <w:t>rehnedebilme</w:t>
      </w:r>
      <w:proofErr w:type="spellEnd"/>
      <w:r w:rsidRPr="00334860">
        <w:rPr>
          <w:rFonts w:ascii="Arial" w:hAnsi="Arial" w:cs="Arial"/>
          <w:color w:val="000000"/>
          <w:sz w:val="24"/>
          <w:szCs w:val="24"/>
        </w:rPr>
        <w:t xml:space="preserve"> imkânı vermek amacıyla kurulan mağazalara “umumi mağaza” denir.</w:t>
      </w: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</w:tblGrid>
      <w:tr w:rsidR="002052FB" w:rsidRPr="00334860" w:rsidTr="00A82EF6">
        <w:tc>
          <w:tcPr>
            <w:tcW w:w="3544" w:type="dxa"/>
            <w:shd w:val="clear" w:color="auto" w:fill="000000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334860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Makbuz Senedi</w:t>
            </w:r>
          </w:p>
        </w:tc>
        <w:tc>
          <w:tcPr>
            <w:tcW w:w="3544" w:type="dxa"/>
            <w:shd w:val="clear" w:color="auto" w:fill="000000"/>
          </w:tcPr>
          <w:p w:rsidR="002052FB" w:rsidRPr="00334860" w:rsidRDefault="002052FB" w:rsidP="00A82EF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334860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Varant</w:t>
            </w:r>
            <w:proofErr w:type="spellEnd"/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pStyle w:val="NormalWeb"/>
              <w:spacing w:before="120" w:after="60"/>
              <w:jc w:val="both"/>
              <w:rPr>
                <w:rFonts w:ascii="Arial" w:hAnsi="Arial" w:cs="Arial"/>
                <w:color w:val="000000"/>
              </w:rPr>
            </w:pPr>
            <w:r w:rsidRPr="00334860">
              <w:rPr>
                <w:rFonts w:ascii="Arial" w:hAnsi="Arial" w:cs="Arial"/>
                <w:color w:val="000000"/>
              </w:rPr>
              <w:t>Umumi mağazaya teslim olunan eşya üzerindeki mülkiyet hakkını temsil eder. Umumi mağazalara tevdi edilen mal ve hububat karşılığında verilen makbuz senedinin aşağıda yazılı kayıtları içermesi gereklidir:</w:t>
            </w:r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  <w:t>Tevdi edenin adı, mesleği, yerleşim yeri.</w:t>
            </w:r>
            <w:proofErr w:type="gramEnd"/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</w:r>
            <w:proofErr w:type="spellStart"/>
            <w:r w:rsidRPr="00334860">
              <w:rPr>
                <w:rFonts w:ascii="Arial" w:hAnsi="Arial" w:cs="Arial"/>
                <w:color w:val="000000"/>
              </w:rPr>
              <w:t>Tevdinin</w:t>
            </w:r>
            <w:proofErr w:type="spellEnd"/>
            <w:r w:rsidRPr="00334860">
              <w:rPr>
                <w:rFonts w:ascii="Arial" w:hAnsi="Arial" w:cs="Arial"/>
                <w:color w:val="000000"/>
              </w:rPr>
              <w:t xml:space="preserve"> yapıldığı umumi mağazanın ticaret unvanı ile merkezi.</w:t>
            </w:r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  <w:t>Tevdi olunan malların cins ve miktarı ile nitelik ve değerinin bilinmesi için açıklanması gereken hususlar.</w:t>
            </w:r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  <w:t>Tevdi olunan malların tabi olması gereken, resim, harç ve vergilerin ödenip ödenmediği ve sigorta edilip edilmediği.</w:t>
            </w:r>
            <w:proofErr w:type="gramEnd"/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  <w:t>Ödenmiş veya ödenecek ücretler, giderler.</w:t>
            </w:r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  <w:t>Senedin kimin adına veya emrine düzenleneceğini gösteren bir ibare.</w:t>
            </w:r>
            <w:proofErr w:type="gramEnd"/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  <w:t>Umumi mağaza sahibinin imzası</w:t>
            </w:r>
          </w:p>
        </w:tc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pStyle w:val="NormalWeb"/>
              <w:spacing w:before="120" w:after="60"/>
              <w:jc w:val="both"/>
              <w:rPr>
                <w:rFonts w:ascii="Arial" w:hAnsi="Arial" w:cs="Arial"/>
                <w:color w:val="000000"/>
              </w:rPr>
            </w:pPr>
            <w:r w:rsidRPr="00334860">
              <w:rPr>
                <w:rFonts w:ascii="Arial" w:hAnsi="Arial" w:cs="Arial"/>
                <w:color w:val="000000"/>
              </w:rPr>
              <w:t xml:space="preserve">Umumi mağazaya teslim olunan eşya üzerindeki rehin hakkını temsil eder. Şu kayıtları içermeli ve makbuz senedine bağlı olması gerekir. </w:t>
            </w:r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r w:rsidRPr="0033486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  <w:t>Tevdi edenin adı, mesleği, yerleşim yeri.</w:t>
            </w:r>
            <w:proofErr w:type="gramEnd"/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</w:r>
            <w:proofErr w:type="spellStart"/>
            <w:r w:rsidRPr="00334860">
              <w:rPr>
                <w:rFonts w:ascii="Arial" w:hAnsi="Arial" w:cs="Arial"/>
                <w:color w:val="000000"/>
              </w:rPr>
              <w:t>Tevdinin</w:t>
            </w:r>
            <w:proofErr w:type="spellEnd"/>
            <w:r w:rsidRPr="00334860">
              <w:rPr>
                <w:rFonts w:ascii="Arial" w:hAnsi="Arial" w:cs="Arial"/>
                <w:color w:val="000000"/>
              </w:rPr>
              <w:t xml:space="preserve"> yapıldığı umumi mağazanın ticaret unvanı ile merkezi.</w:t>
            </w:r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  <w:t>Tevdi olunan malların cins ve miktarı ile nitelik ve değerinin bilinmesi için açıklanması gereken hususlar.</w:t>
            </w:r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  <w:t>Tevdi olunan malların tabi olması gereken, resim, harç ve vergilerin ödenip ödenmediği ve sigorta edilip edilmediği.</w:t>
            </w:r>
            <w:proofErr w:type="gramEnd"/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  <w:t>Ödenmiş veya ödenecek ücretler, giderler.</w:t>
            </w:r>
          </w:p>
          <w:p w:rsidR="002052FB" w:rsidRPr="00334860" w:rsidRDefault="002052FB" w:rsidP="00A82EF6">
            <w:pPr>
              <w:pStyle w:val="NormalWeb"/>
              <w:tabs>
                <w:tab w:val="left" w:pos="318"/>
              </w:tabs>
              <w:spacing w:before="120" w:after="60"/>
              <w:ind w:left="318" w:hanging="284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34860">
              <w:rPr>
                <w:rFonts w:ascii="Arial" w:hAnsi="Arial" w:cs="Arial"/>
                <w:color w:val="000000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</w:rPr>
              <w:tab/>
              <w:t>Senedin kimin adına veya emrine düzenleneceğini gösteren bir ibare.</w:t>
            </w:r>
            <w:proofErr w:type="gramEnd"/>
          </w:p>
          <w:p w:rsidR="002052FB" w:rsidRPr="00334860" w:rsidRDefault="002052FB" w:rsidP="00A82EF6">
            <w:pPr>
              <w:tabs>
                <w:tab w:val="left" w:pos="318"/>
              </w:tabs>
              <w:spacing w:before="120" w:after="60" w:line="240" w:lineRule="auto"/>
              <w:ind w:left="318" w:hanging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ab/>
              <w:t>Umumi mağaza sahibinin imzası</w:t>
            </w:r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Mülkiyeti temsil eder</w:t>
            </w:r>
          </w:p>
        </w:tc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Rehin hakkını temsil eder</w:t>
            </w:r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Emre ve nama yazılı düzenlenebilir</w:t>
            </w:r>
          </w:p>
        </w:tc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Emre ve nama yazılı düzenlenebilir</w:t>
            </w:r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Hamiline yazılı düzenlenemez</w:t>
            </w:r>
          </w:p>
        </w:tc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Hamiline yazılı düzenlenemez</w:t>
            </w:r>
          </w:p>
        </w:tc>
      </w:tr>
    </w:tbl>
    <w:p w:rsidR="002052FB" w:rsidRPr="00334860" w:rsidRDefault="002052FB" w:rsidP="002052FB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</w:tblGrid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Makbuz senedi hamilinin hakları şöyledir; </w:t>
            </w:r>
          </w:p>
          <w:p w:rsidR="002052FB" w:rsidRPr="00334860" w:rsidRDefault="002052FB" w:rsidP="002052FB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60" w:line="240" w:lineRule="auto"/>
              <w:ind w:left="318" w:hanging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Eşyanın tamamını umumi mağazadan çekme hakkı</w:t>
            </w:r>
          </w:p>
          <w:p w:rsidR="002052FB" w:rsidRPr="00334860" w:rsidRDefault="002052FB" w:rsidP="002052FB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60" w:line="240" w:lineRule="auto"/>
              <w:ind w:left="318" w:hanging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Misli eşyanın bir kısmını umumi mağazadan çekme hakkı</w:t>
            </w:r>
          </w:p>
        </w:tc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Varant</w:t>
            </w:r>
            <w:proofErr w:type="spellEnd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 hamilinin hakları şöyledir; </w:t>
            </w:r>
          </w:p>
          <w:p w:rsidR="002052FB" w:rsidRPr="00334860" w:rsidRDefault="002052FB" w:rsidP="002052FB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60" w:line="240" w:lineRule="auto"/>
              <w:ind w:left="318" w:hanging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Rehnin</w:t>
            </w:r>
            <w:proofErr w:type="spellEnd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 paraya çevrilmesi yoluyla takibe girişip satış talebinde bulunma hakkı</w:t>
            </w:r>
          </w:p>
          <w:p w:rsidR="002052FB" w:rsidRPr="00334860" w:rsidRDefault="002052FB" w:rsidP="002052FB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60" w:line="240" w:lineRule="auto"/>
              <w:ind w:left="318" w:hanging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Başvuru hakkı; borçluya ve cirantaya karşı kullanılabilir</w:t>
            </w:r>
          </w:p>
          <w:p w:rsidR="002052FB" w:rsidRPr="00334860" w:rsidRDefault="002052FB" w:rsidP="002052FB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60" w:line="240" w:lineRule="auto"/>
              <w:ind w:left="318" w:hanging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Varantın</w:t>
            </w:r>
            <w:proofErr w:type="spellEnd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 hamili, sigorta edilen malın zıya veya hasarı hâlinde sigorta bedelinden alacağını tahsil eder.</w:t>
            </w:r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pStyle w:val="NormalWeb"/>
              <w:spacing w:before="120" w:after="6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4860">
              <w:rPr>
                <w:rFonts w:ascii="Arial" w:hAnsi="Arial" w:cs="Arial"/>
                <w:color w:val="000000"/>
              </w:rPr>
              <w:t>Makbuz senedi emre yazılı olmasa bile ayrı ayrı veya birlikte teslim ve ciro yoluyla devredilebilir. Ciro, yapıldığı günün tarihini de taşır.</w:t>
            </w:r>
          </w:p>
        </w:tc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pStyle w:val="NormalWeb"/>
              <w:spacing w:before="120" w:after="6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34860">
              <w:rPr>
                <w:rFonts w:ascii="Arial" w:hAnsi="Arial" w:cs="Arial"/>
                <w:color w:val="000000"/>
              </w:rPr>
              <w:t>Varant</w:t>
            </w:r>
            <w:proofErr w:type="spellEnd"/>
            <w:r w:rsidRPr="00334860">
              <w:rPr>
                <w:rFonts w:ascii="Arial" w:hAnsi="Arial" w:cs="Arial"/>
                <w:color w:val="000000"/>
              </w:rPr>
              <w:t xml:space="preserve"> emre yazılı olmasa bile ayrı ayrı veya birlikte teslim ve ciro yoluyla devredilebilir. Ciro, yapıldığı günün tarihini de taşır.</w:t>
            </w:r>
          </w:p>
        </w:tc>
      </w:tr>
      <w:tr w:rsidR="002052FB" w:rsidRPr="00334860" w:rsidTr="00A82EF6"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6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Makbuz senedinden doğan istem hakları, poliçeler hakkındaki zamanaşımı sürelerine tabidir</w:t>
            </w:r>
          </w:p>
        </w:tc>
        <w:tc>
          <w:tcPr>
            <w:tcW w:w="3544" w:type="dxa"/>
            <w:shd w:val="clear" w:color="auto" w:fill="D9D9D9"/>
          </w:tcPr>
          <w:p w:rsidR="002052FB" w:rsidRPr="00334860" w:rsidRDefault="002052FB" w:rsidP="00A82EF6">
            <w:pPr>
              <w:spacing w:before="120" w:after="6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>Varanttan</w:t>
            </w:r>
            <w:proofErr w:type="spellEnd"/>
            <w:r w:rsidRPr="00334860">
              <w:rPr>
                <w:rFonts w:ascii="Arial" w:hAnsi="Arial" w:cs="Arial"/>
                <w:color w:val="000000"/>
                <w:sz w:val="24"/>
                <w:szCs w:val="24"/>
              </w:rPr>
              <w:t xml:space="preserve"> doğan istem hakları, poliçeler hakkındaki zamanaşımı sürelerine tabidir</w:t>
            </w:r>
          </w:p>
        </w:tc>
      </w:tr>
    </w:tbl>
    <w:p w:rsidR="002052FB" w:rsidRPr="00334860" w:rsidRDefault="002052FB" w:rsidP="002052FB">
      <w:pPr>
        <w:spacing w:before="6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2052FB" w:rsidRPr="00334860" w:rsidRDefault="002052FB" w:rsidP="002052FB">
      <w:pPr>
        <w:spacing w:before="60" w:line="240" w:lineRule="auto"/>
        <w:ind w:firstLine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52FB" w:rsidRPr="00334860" w:rsidRDefault="002052FB" w:rsidP="002052FB">
      <w:pPr>
        <w:spacing w:before="60" w:line="240" w:lineRule="auto"/>
        <w:ind w:firstLine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52FB" w:rsidRDefault="002052FB" w:rsidP="002052FB"/>
    <w:p w:rsidR="00164151" w:rsidRDefault="00164151">
      <w:bookmarkStart w:id="0" w:name="_GoBack"/>
      <w:bookmarkEnd w:id="0"/>
    </w:p>
    <w:sectPr w:rsidR="0016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43B67"/>
    <w:multiLevelType w:val="hybridMultilevel"/>
    <w:tmpl w:val="AF0E5E78"/>
    <w:lvl w:ilvl="0" w:tplc="A42A624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SimSu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F4"/>
    <w:rsid w:val="00164151"/>
    <w:rsid w:val="002052FB"/>
    <w:rsid w:val="0020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FD17D-9B21-4F14-8C8F-6FD7EA7D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2F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052FB"/>
    <w:pPr>
      <w:spacing w:after="315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2017-12-27T21:27:00Z</dcterms:created>
  <dcterms:modified xsi:type="dcterms:W3CDTF">2017-12-27T21:27:00Z</dcterms:modified>
</cp:coreProperties>
</file>