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3C5" w:rsidRPr="002D096F" w:rsidRDefault="00D753C5" w:rsidP="00D753C5">
      <w:pPr>
        <w:jc w:val="center"/>
        <w:rPr>
          <w:rFonts w:asciiTheme="majorHAnsi" w:hAnsiTheme="majorHAnsi" w:cstheme="majorHAnsi"/>
          <w:b/>
          <w:sz w:val="52"/>
          <w:szCs w:val="52"/>
          <w:u w:val="single"/>
        </w:rPr>
      </w:pPr>
    </w:p>
    <w:p w:rsidR="00D753C5" w:rsidRPr="002D096F" w:rsidRDefault="00D753C5" w:rsidP="00D753C5">
      <w:pPr>
        <w:spacing w:after="0" w:line="240" w:lineRule="auto"/>
        <w:ind w:firstLine="284"/>
        <w:jc w:val="both"/>
        <w:rPr>
          <w:rFonts w:ascii="Comic Sans MS" w:hAnsi="Comic Sans MS" w:cstheme="minorHAnsi"/>
          <w:sz w:val="24"/>
          <w:szCs w:val="24"/>
        </w:rPr>
      </w:pPr>
    </w:p>
    <w:p w:rsidR="00D753C5" w:rsidRPr="002D096F" w:rsidRDefault="00D753C5" w:rsidP="00D753C5">
      <w:pPr>
        <w:spacing w:after="0" w:line="240" w:lineRule="auto"/>
        <w:jc w:val="both"/>
        <w:rPr>
          <w:rFonts w:ascii="Comic Sans MS" w:hAnsi="Comic Sans MS" w:cstheme="minorHAnsi"/>
          <w:b/>
          <w:sz w:val="26"/>
          <w:szCs w:val="26"/>
        </w:rPr>
      </w:pPr>
      <w:r w:rsidRPr="002D096F">
        <w:rPr>
          <w:rFonts w:ascii="Comic Sans MS" w:hAnsi="Comic Sans MS" w:cstheme="minorHAnsi"/>
          <w:b/>
          <w:sz w:val="26"/>
          <w:szCs w:val="26"/>
        </w:rPr>
        <w:t>USULSUZ TEBLİGAT</w:t>
      </w:r>
    </w:p>
    <w:p w:rsidR="00D753C5" w:rsidRPr="002D096F" w:rsidRDefault="00D753C5" w:rsidP="00D753C5">
      <w:pPr>
        <w:spacing w:after="0" w:line="240" w:lineRule="auto"/>
        <w:ind w:firstLine="284"/>
        <w:jc w:val="both"/>
        <w:rPr>
          <w:rFonts w:ascii="Comic Sans MS" w:hAnsi="Comic Sans MS" w:cstheme="minorHAnsi"/>
          <w:sz w:val="24"/>
          <w:szCs w:val="24"/>
        </w:rPr>
      </w:pPr>
      <w:r w:rsidRPr="002D096F">
        <w:rPr>
          <w:rFonts w:ascii="Comic Sans MS" w:hAnsi="Comic Sans MS" w:cstheme="minorHAnsi"/>
          <w:sz w:val="24"/>
          <w:szCs w:val="24"/>
        </w:rPr>
        <w:t>Tebligat hukukuna uyulmadan yapılan tebligat yapılmamış sayılır. Muhatap bunu öğrenirse tebligat geçerli olur. Muhatabın tebliğ öğrendiğini beyan ettiği tarihtir.</w:t>
      </w:r>
    </w:p>
    <w:p w:rsidR="00D753C5" w:rsidRPr="002D096F" w:rsidRDefault="00D753C5" w:rsidP="00D753C5">
      <w:pPr>
        <w:spacing w:after="0" w:line="240" w:lineRule="auto"/>
        <w:jc w:val="both"/>
        <w:rPr>
          <w:rFonts w:ascii="Comic Sans MS" w:hAnsi="Comic Sans MS" w:cstheme="minorHAnsi"/>
          <w:b/>
          <w:sz w:val="26"/>
          <w:szCs w:val="26"/>
        </w:rPr>
      </w:pPr>
    </w:p>
    <w:p w:rsidR="00D753C5" w:rsidRPr="002D096F" w:rsidRDefault="00D753C5" w:rsidP="00D753C5">
      <w:pPr>
        <w:spacing w:after="0" w:line="240" w:lineRule="auto"/>
        <w:jc w:val="both"/>
        <w:rPr>
          <w:rFonts w:ascii="Comic Sans MS" w:hAnsi="Comic Sans MS" w:cstheme="minorHAnsi"/>
          <w:b/>
          <w:sz w:val="26"/>
          <w:szCs w:val="26"/>
        </w:rPr>
      </w:pPr>
      <w:r w:rsidRPr="002D096F">
        <w:rPr>
          <w:rFonts w:ascii="Comic Sans MS" w:hAnsi="Comic Sans MS" w:cstheme="minorHAnsi"/>
          <w:b/>
          <w:sz w:val="26"/>
          <w:szCs w:val="26"/>
        </w:rPr>
        <w:t>TEBLİĞ EVRAKI</w:t>
      </w:r>
    </w:p>
    <w:p w:rsidR="00D753C5" w:rsidRPr="002D096F" w:rsidRDefault="00D753C5" w:rsidP="00D753C5">
      <w:pPr>
        <w:spacing w:after="0" w:line="240" w:lineRule="auto"/>
        <w:ind w:firstLine="284"/>
        <w:jc w:val="both"/>
        <w:rPr>
          <w:rFonts w:ascii="Comic Sans MS" w:hAnsi="Comic Sans MS" w:cstheme="minorHAnsi"/>
          <w:sz w:val="24"/>
          <w:szCs w:val="24"/>
        </w:rPr>
      </w:pPr>
      <w:r w:rsidRPr="002D096F">
        <w:rPr>
          <w:rFonts w:ascii="Comic Sans MS" w:hAnsi="Comic Sans MS" w:cstheme="minorHAnsi"/>
          <w:sz w:val="24"/>
          <w:szCs w:val="24"/>
        </w:rPr>
        <w:t>Tebligat evrakı, tebligatın haber verme işlevini gerçekleştirilen belgelerdir. Tebliğ evrakı ile davetiye farklı kavramlardır. Davetiyede daveti çıkaran merci tarafından bakmakla görevli olduğu iş ile ilgili olanların bu mercie tarafından davet edilmesini içerir.</w:t>
      </w:r>
    </w:p>
    <w:p w:rsidR="00D753C5" w:rsidRPr="002D096F" w:rsidRDefault="00D753C5" w:rsidP="00D753C5">
      <w:pPr>
        <w:spacing w:after="0" w:line="240" w:lineRule="auto"/>
        <w:rPr>
          <w:rFonts w:ascii="Comic Sans MS" w:hAnsi="Comic Sans MS" w:cstheme="minorHAnsi"/>
          <w:sz w:val="24"/>
          <w:szCs w:val="24"/>
        </w:rPr>
      </w:pPr>
    </w:p>
    <w:p w:rsidR="00D753C5" w:rsidRPr="002D096F" w:rsidRDefault="00D753C5" w:rsidP="00D753C5">
      <w:pPr>
        <w:spacing w:after="0" w:line="240" w:lineRule="auto"/>
        <w:rPr>
          <w:rFonts w:ascii="Comic Sans MS" w:hAnsi="Comic Sans MS" w:cstheme="minorHAnsi"/>
          <w:b/>
          <w:sz w:val="26"/>
          <w:szCs w:val="26"/>
        </w:rPr>
      </w:pPr>
    </w:p>
    <w:p w:rsidR="00D753C5" w:rsidRPr="002D096F" w:rsidRDefault="00D753C5" w:rsidP="00D753C5">
      <w:pPr>
        <w:spacing w:after="0" w:line="240" w:lineRule="auto"/>
        <w:rPr>
          <w:rFonts w:ascii="Comic Sans MS" w:hAnsi="Comic Sans MS" w:cstheme="minorHAnsi"/>
          <w:b/>
          <w:sz w:val="26"/>
          <w:szCs w:val="26"/>
        </w:rPr>
      </w:pPr>
    </w:p>
    <w:p w:rsidR="00D753C5" w:rsidRPr="002D096F" w:rsidRDefault="00D753C5" w:rsidP="00D753C5">
      <w:pPr>
        <w:spacing w:after="0" w:line="240" w:lineRule="auto"/>
        <w:rPr>
          <w:rFonts w:ascii="Comic Sans MS" w:hAnsi="Comic Sans MS" w:cstheme="minorHAnsi"/>
          <w:b/>
          <w:sz w:val="26"/>
          <w:szCs w:val="26"/>
        </w:rPr>
      </w:pPr>
      <w:r w:rsidRPr="002D096F">
        <w:rPr>
          <w:rFonts w:ascii="Comic Sans MS" w:hAnsi="Comic Sans MS" w:cstheme="minorHAnsi"/>
          <w:b/>
          <w:sz w:val="26"/>
          <w:szCs w:val="26"/>
        </w:rPr>
        <w:t>TEBLİĞ EVRAKIN TÜRLERİ</w:t>
      </w:r>
    </w:p>
    <w:p w:rsidR="00D753C5" w:rsidRPr="002D096F" w:rsidRDefault="00D753C5" w:rsidP="00D753C5">
      <w:pPr>
        <w:spacing w:after="0" w:line="240" w:lineRule="auto"/>
        <w:rPr>
          <w:rFonts w:ascii="Comic Sans MS" w:hAnsi="Comic Sans MS" w:cstheme="minorHAnsi"/>
          <w:b/>
          <w:sz w:val="26"/>
          <w:szCs w:val="26"/>
        </w:rPr>
      </w:pPr>
    </w:p>
    <w:p w:rsidR="00D753C5" w:rsidRPr="002D096F" w:rsidRDefault="00D753C5" w:rsidP="00D753C5">
      <w:pPr>
        <w:spacing w:after="0" w:line="240" w:lineRule="auto"/>
        <w:ind w:firstLine="708"/>
        <w:rPr>
          <w:rFonts w:ascii="Comic Sans MS" w:hAnsi="Comic Sans MS" w:cstheme="minorHAnsi"/>
          <w:sz w:val="24"/>
          <w:szCs w:val="24"/>
        </w:rPr>
      </w:pPr>
      <w:r w:rsidRPr="002D096F">
        <w:rPr>
          <w:rFonts w:ascii="Comic Sans MS" w:hAnsi="Comic Sans MS" w:cstheme="minorHAnsi"/>
          <w:b/>
          <w:sz w:val="24"/>
          <w:szCs w:val="24"/>
        </w:rPr>
        <w:t xml:space="preserve">TEBLİĞ MAZBATASI: </w:t>
      </w:r>
      <w:r w:rsidRPr="002D096F">
        <w:rPr>
          <w:rFonts w:ascii="Comic Sans MS" w:hAnsi="Comic Sans MS" w:cstheme="minorHAnsi"/>
          <w:sz w:val="24"/>
          <w:szCs w:val="24"/>
        </w:rPr>
        <w:t xml:space="preserve">Tebligatın muhatabına yapıldığını belgeleyen evraktır. Tebligatın usulüne uygun yapıldığı bu mazbata ile anlaşılır. </w:t>
      </w:r>
      <w:r w:rsidRPr="002D096F">
        <w:rPr>
          <w:rFonts w:ascii="Comic Sans MS" w:hAnsi="Comic Sans MS" w:cstheme="minorHAnsi"/>
          <w:b/>
          <w:sz w:val="24"/>
          <w:szCs w:val="24"/>
        </w:rPr>
        <w:t xml:space="preserve">Tebliğ Mazbatasında Şunlar Bulunur; </w:t>
      </w:r>
      <w:r w:rsidRPr="002D096F">
        <w:rPr>
          <w:rFonts w:ascii="Comic Sans MS" w:hAnsi="Comic Sans MS" w:cstheme="minorHAnsi"/>
          <w:sz w:val="24"/>
          <w:szCs w:val="24"/>
        </w:rPr>
        <w:t>Tebliğ çıkaran merci adı, tebliğ isteyen tarafın adı, soyadı ve adresi, muhatabın adı, soyadı ve adresi, tebliğ konusu, tebliğ tarihi, evrak kime verildiyse o kişinin adı, soyadı ve imzası, tebliğ memuru adı, soyadı ve imzası, bulunur.</w:t>
      </w:r>
    </w:p>
    <w:p w:rsidR="00D753C5" w:rsidRPr="002D096F" w:rsidRDefault="00D753C5" w:rsidP="00D753C5">
      <w:pPr>
        <w:spacing w:after="0" w:line="240" w:lineRule="auto"/>
        <w:rPr>
          <w:rFonts w:ascii="Comic Sans MS" w:hAnsi="Comic Sans MS" w:cstheme="minorHAnsi"/>
          <w:sz w:val="24"/>
          <w:szCs w:val="24"/>
        </w:rPr>
      </w:pPr>
      <w:r w:rsidRPr="002D096F">
        <w:rPr>
          <w:rFonts w:ascii="Comic Sans MS" w:hAnsi="Comic Sans MS" w:cstheme="minorHAnsi"/>
          <w:sz w:val="24"/>
          <w:szCs w:val="24"/>
        </w:rPr>
        <w:tab/>
      </w:r>
      <w:r w:rsidRPr="002D096F">
        <w:rPr>
          <w:rFonts w:ascii="Comic Sans MS" w:hAnsi="Comic Sans MS" w:cstheme="minorHAnsi"/>
          <w:b/>
          <w:sz w:val="24"/>
          <w:szCs w:val="24"/>
        </w:rPr>
        <w:t>TEBLİĞ MAZBATA ZARFI:</w:t>
      </w:r>
      <w:r w:rsidRPr="002D096F">
        <w:rPr>
          <w:rFonts w:ascii="Comic Sans MS" w:hAnsi="Comic Sans MS" w:cstheme="minorHAnsi"/>
          <w:sz w:val="24"/>
          <w:szCs w:val="24"/>
        </w:rPr>
        <w:t xml:space="preserve"> Tebliğ evrakın içine konulduğu zarftır.</w:t>
      </w:r>
    </w:p>
    <w:p w:rsidR="00D753C5" w:rsidRPr="002D096F" w:rsidRDefault="00D753C5" w:rsidP="00D753C5">
      <w:pPr>
        <w:spacing w:after="0" w:line="240" w:lineRule="auto"/>
        <w:rPr>
          <w:rFonts w:ascii="Comic Sans MS" w:hAnsi="Comic Sans MS" w:cstheme="minorHAnsi"/>
          <w:b/>
          <w:sz w:val="24"/>
          <w:szCs w:val="24"/>
        </w:rPr>
      </w:pPr>
    </w:p>
    <w:p w:rsidR="00D753C5" w:rsidRPr="002D096F" w:rsidRDefault="00D753C5" w:rsidP="00D753C5">
      <w:pPr>
        <w:spacing w:after="0" w:line="240" w:lineRule="auto"/>
        <w:rPr>
          <w:rFonts w:ascii="Comic Sans MS" w:hAnsi="Comic Sans MS" w:cstheme="minorHAnsi"/>
          <w:b/>
          <w:sz w:val="26"/>
          <w:szCs w:val="26"/>
        </w:rPr>
      </w:pPr>
      <w:r w:rsidRPr="002D096F">
        <w:rPr>
          <w:rFonts w:ascii="Comic Sans MS" w:hAnsi="Comic Sans MS" w:cstheme="minorHAnsi"/>
          <w:b/>
          <w:sz w:val="24"/>
          <w:szCs w:val="24"/>
        </w:rPr>
        <w:t>TEBLİĞ MASRAFI</w:t>
      </w:r>
    </w:p>
    <w:p w:rsidR="00D753C5" w:rsidRPr="002D096F" w:rsidRDefault="00D753C5" w:rsidP="00D753C5">
      <w:pPr>
        <w:spacing w:after="0" w:line="240" w:lineRule="auto"/>
        <w:jc w:val="both"/>
        <w:rPr>
          <w:rFonts w:ascii="Comic Sans MS" w:hAnsi="Comic Sans MS" w:cstheme="minorHAnsi"/>
          <w:sz w:val="24"/>
          <w:szCs w:val="24"/>
        </w:rPr>
      </w:pPr>
      <w:r w:rsidRPr="002D096F">
        <w:rPr>
          <w:rFonts w:ascii="Comic Sans MS" w:hAnsi="Comic Sans MS" w:cstheme="minorHAnsi"/>
          <w:sz w:val="24"/>
          <w:szCs w:val="24"/>
        </w:rPr>
        <w:t>Tebligatın yapılmasını isteyen kişiden tebligat masrafları peşin olarak öder. Dava açılırken yatırılan gider avansı tebligat masraflarında kullanılır.</w:t>
      </w:r>
    </w:p>
    <w:p w:rsidR="00D753C5" w:rsidRPr="002D096F" w:rsidRDefault="00D753C5" w:rsidP="00D753C5">
      <w:pPr>
        <w:spacing w:after="0" w:line="240" w:lineRule="auto"/>
        <w:jc w:val="both"/>
        <w:rPr>
          <w:rFonts w:ascii="Comic Sans MS" w:hAnsi="Comic Sans MS" w:cstheme="minorHAnsi"/>
          <w:sz w:val="24"/>
          <w:szCs w:val="24"/>
        </w:rPr>
      </w:pPr>
    </w:p>
    <w:p w:rsidR="00D753C5" w:rsidRPr="002D096F" w:rsidRDefault="00D753C5" w:rsidP="00D753C5">
      <w:pPr>
        <w:spacing w:after="0" w:line="240" w:lineRule="auto"/>
        <w:jc w:val="center"/>
        <w:rPr>
          <w:rFonts w:ascii="Comic Sans MS" w:hAnsi="Comic Sans MS" w:cstheme="minorHAnsi"/>
          <w:b/>
          <w:sz w:val="28"/>
          <w:szCs w:val="28"/>
        </w:rPr>
      </w:pPr>
      <w:r w:rsidRPr="002D096F">
        <w:rPr>
          <w:rFonts w:ascii="Comic Sans MS" w:hAnsi="Comic Sans MS" w:cstheme="minorHAnsi"/>
          <w:b/>
          <w:sz w:val="28"/>
          <w:szCs w:val="28"/>
        </w:rPr>
        <w:t>TEBLİGAT SUÇLARI</w:t>
      </w:r>
    </w:p>
    <w:p w:rsidR="00D753C5" w:rsidRPr="002D096F" w:rsidRDefault="00D753C5" w:rsidP="00D753C5">
      <w:pPr>
        <w:spacing w:after="0" w:line="240" w:lineRule="auto"/>
        <w:jc w:val="both"/>
        <w:rPr>
          <w:rFonts w:ascii="Comic Sans MS" w:hAnsi="Comic Sans MS" w:cstheme="minorHAnsi"/>
          <w:sz w:val="24"/>
          <w:szCs w:val="24"/>
        </w:rPr>
      </w:pPr>
    </w:p>
    <w:p w:rsidR="00D753C5" w:rsidRPr="002D096F" w:rsidRDefault="00D753C5" w:rsidP="00D753C5">
      <w:pPr>
        <w:spacing w:after="0" w:line="240" w:lineRule="auto"/>
        <w:jc w:val="both"/>
        <w:rPr>
          <w:rFonts w:ascii="Comic Sans MS" w:hAnsi="Comic Sans MS" w:cstheme="minorHAnsi"/>
          <w:sz w:val="24"/>
          <w:szCs w:val="24"/>
        </w:rPr>
      </w:pPr>
      <w:r w:rsidRPr="002D096F">
        <w:rPr>
          <w:rFonts w:ascii="Comic Sans MS" w:hAnsi="Comic Sans MS" w:cstheme="minorHAnsi"/>
          <w:sz w:val="24"/>
          <w:szCs w:val="24"/>
        </w:rPr>
        <w:t>Tebligat suçları Tebligat Kanununu 52 ve 56. Maddeleri arasında düzenlenmiştir.</w:t>
      </w:r>
    </w:p>
    <w:p w:rsidR="00D753C5" w:rsidRPr="002D096F" w:rsidRDefault="00D753C5" w:rsidP="00D753C5">
      <w:pPr>
        <w:spacing w:after="0" w:line="240" w:lineRule="auto"/>
        <w:jc w:val="both"/>
        <w:rPr>
          <w:rFonts w:ascii="Comic Sans MS" w:hAnsi="Comic Sans MS" w:cstheme="minorHAnsi"/>
          <w:sz w:val="24"/>
          <w:szCs w:val="24"/>
        </w:rPr>
      </w:pPr>
    </w:p>
    <w:p w:rsidR="00D753C5" w:rsidRPr="002D096F" w:rsidRDefault="00D753C5" w:rsidP="00D753C5">
      <w:pPr>
        <w:spacing w:after="0" w:line="240" w:lineRule="auto"/>
        <w:jc w:val="both"/>
        <w:rPr>
          <w:rFonts w:ascii="Comic Sans MS" w:hAnsi="Comic Sans MS" w:cstheme="minorHAnsi"/>
          <w:sz w:val="24"/>
          <w:szCs w:val="24"/>
        </w:rPr>
      </w:pPr>
      <w:r w:rsidRPr="002D096F">
        <w:rPr>
          <w:rFonts w:ascii="Comic Sans MS" w:hAnsi="Comic Sans MS" w:cstheme="minorHAnsi"/>
          <w:b/>
          <w:sz w:val="24"/>
          <w:szCs w:val="24"/>
        </w:rPr>
        <w:t xml:space="preserve">Madde 52’ye göre </w:t>
      </w:r>
      <w:r w:rsidRPr="002D096F">
        <w:rPr>
          <w:rFonts w:ascii="Comic Sans MS" w:hAnsi="Comic Sans MS" w:cstheme="minorHAnsi"/>
          <w:sz w:val="24"/>
          <w:szCs w:val="24"/>
        </w:rPr>
        <w:t>bu kanunun uygulamasında görevli olan memurlar ile muhtarlar ve ihtiyar heyeti üyeleri tarafından işlenen suçlar ve onlara karış işlenen suçlar TCK’nın kamu görevlisi hükümlerine göre cezalandırılır.</w:t>
      </w:r>
    </w:p>
    <w:p w:rsidR="00D753C5" w:rsidRPr="002D096F" w:rsidRDefault="00D753C5" w:rsidP="00D753C5">
      <w:pPr>
        <w:spacing w:after="0" w:line="240" w:lineRule="auto"/>
        <w:jc w:val="both"/>
        <w:rPr>
          <w:rFonts w:ascii="Comic Sans MS" w:hAnsi="Comic Sans MS" w:cstheme="minorHAnsi"/>
          <w:sz w:val="24"/>
          <w:szCs w:val="24"/>
        </w:rPr>
      </w:pPr>
    </w:p>
    <w:p w:rsidR="00D753C5" w:rsidRPr="002D096F" w:rsidRDefault="00D753C5" w:rsidP="00D753C5">
      <w:pPr>
        <w:spacing w:after="0" w:line="240" w:lineRule="auto"/>
        <w:jc w:val="both"/>
        <w:rPr>
          <w:rFonts w:ascii="Comic Sans MS" w:hAnsi="Comic Sans MS" w:cstheme="minorHAnsi"/>
          <w:sz w:val="24"/>
          <w:szCs w:val="24"/>
        </w:rPr>
      </w:pPr>
      <w:r w:rsidRPr="002D096F">
        <w:rPr>
          <w:rFonts w:ascii="Comic Sans MS" w:hAnsi="Comic Sans MS" w:cstheme="minorHAnsi"/>
          <w:b/>
          <w:sz w:val="24"/>
          <w:szCs w:val="24"/>
        </w:rPr>
        <w:t xml:space="preserve">Madde </w:t>
      </w:r>
      <w:proofErr w:type="gramStart"/>
      <w:r w:rsidRPr="002D096F">
        <w:rPr>
          <w:rFonts w:ascii="Comic Sans MS" w:hAnsi="Comic Sans MS" w:cstheme="minorHAnsi"/>
          <w:b/>
          <w:sz w:val="24"/>
          <w:szCs w:val="24"/>
        </w:rPr>
        <w:t xml:space="preserve">53’te </w:t>
      </w:r>
      <w:r w:rsidRPr="002D096F">
        <w:rPr>
          <w:rFonts w:ascii="Comic Sans MS" w:hAnsi="Comic Sans MS" w:cstheme="minorHAnsi"/>
          <w:sz w:val="24"/>
          <w:szCs w:val="24"/>
        </w:rPr>
        <w:t xml:space="preserve"> ise</w:t>
      </w:r>
      <w:proofErr w:type="gramEnd"/>
      <w:r w:rsidRPr="002D096F">
        <w:rPr>
          <w:rFonts w:ascii="Comic Sans MS" w:hAnsi="Comic Sans MS" w:cstheme="minorHAnsi"/>
          <w:sz w:val="24"/>
          <w:szCs w:val="24"/>
        </w:rPr>
        <w:t xml:space="preserve"> yanlış adres bildirme suçu düzenlenmiştir. Buna göre bir kişi kendisine ait isim ve adresi ya da başkasına ait ismi adresi yanmış bildirilirse 6 aydan 2 yıla kadar hapis cezası ile cezalandırılır.</w:t>
      </w:r>
    </w:p>
    <w:p w:rsidR="00D753C5" w:rsidRPr="002D096F" w:rsidRDefault="00D753C5" w:rsidP="00D753C5">
      <w:pPr>
        <w:spacing w:after="0" w:line="240" w:lineRule="auto"/>
        <w:jc w:val="both"/>
        <w:rPr>
          <w:rFonts w:ascii="Comic Sans MS" w:hAnsi="Comic Sans MS" w:cstheme="minorHAnsi"/>
          <w:sz w:val="24"/>
          <w:szCs w:val="24"/>
        </w:rPr>
      </w:pPr>
    </w:p>
    <w:p w:rsidR="00D753C5" w:rsidRPr="002D096F" w:rsidRDefault="00D753C5" w:rsidP="00D753C5">
      <w:pPr>
        <w:spacing w:after="0" w:line="240" w:lineRule="auto"/>
        <w:jc w:val="both"/>
        <w:rPr>
          <w:rFonts w:ascii="Comic Sans MS" w:hAnsi="Comic Sans MS" w:cstheme="minorHAnsi"/>
          <w:sz w:val="24"/>
          <w:szCs w:val="24"/>
        </w:rPr>
      </w:pPr>
      <w:r w:rsidRPr="002D096F">
        <w:rPr>
          <w:rFonts w:ascii="Comic Sans MS" w:hAnsi="Comic Sans MS" w:cstheme="minorHAnsi"/>
          <w:b/>
          <w:sz w:val="24"/>
          <w:szCs w:val="24"/>
        </w:rPr>
        <w:t xml:space="preserve">Madde 54: </w:t>
      </w:r>
      <w:r w:rsidRPr="002D096F">
        <w:rPr>
          <w:rFonts w:ascii="Comic Sans MS" w:hAnsi="Comic Sans MS" w:cstheme="minorHAnsi"/>
          <w:sz w:val="24"/>
          <w:szCs w:val="24"/>
        </w:rPr>
        <w:t>Tebliğ evrakının muhatabına verilmemesi ve tebligatı kabulden kaçınma suçları için 1 yıla kadar hapis cezası öngörülmüştür.</w:t>
      </w:r>
    </w:p>
    <w:p w:rsidR="00D753C5" w:rsidRPr="002D096F" w:rsidRDefault="00D753C5" w:rsidP="00D753C5">
      <w:pPr>
        <w:spacing w:after="0" w:line="240" w:lineRule="auto"/>
        <w:jc w:val="both"/>
        <w:rPr>
          <w:rFonts w:ascii="Comic Sans MS" w:hAnsi="Comic Sans MS" w:cstheme="minorHAnsi"/>
          <w:sz w:val="24"/>
          <w:szCs w:val="24"/>
        </w:rPr>
      </w:pPr>
    </w:p>
    <w:p w:rsidR="00D753C5" w:rsidRPr="002D096F" w:rsidRDefault="00D753C5" w:rsidP="00D753C5">
      <w:pPr>
        <w:spacing w:after="0" w:line="240" w:lineRule="auto"/>
        <w:jc w:val="both"/>
        <w:rPr>
          <w:rFonts w:ascii="Comic Sans MS" w:hAnsi="Comic Sans MS" w:cstheme="minorHAnsi"/>
          <w:sz w:val="24"/>
          <w:szCs w:val="24"/>
        </w:rPr>
      </w:pPr>
      <w:r w:rsidRPr="002D096F">
        <w:rPr>
          <w:rFonts w:ascii="Comic Sans MS" w:hAnsi="Comic Sans MS" w:cstheme="minorHAnsi"/>
          <w:b/>
          <w:sz w:val="24"/>
          <w:szCs w:val="24"/>
        </w:rPr>
        <w:t xml:space="preserve">Madde 55: </w:t>
      </w:r>
      <w:r w:rsidRPr="002D096F">
        <w:rPr>
          <w:rFonts w:ascii="Comic Sans MS" w:hAnsi="Comic Sans MS" w:cstheme="minorHAnsi"/>
          <w:sz w:val="24"/>
          <w:szCs w:val="24"/>
        </w:rPr>
        <w:t>Yalan beyan suçu düzenlenmiştir</w:t>
      </w:r>
      <w:r w:rsidRPr="002D096F">
        <w:rPr>
          <w:rFonts w:ascii="Comic Sans MS" w:hAnsi="Comic Sans MS" w:cstheme="minorHAnsi"/>
          <w:b/>
          <w:sz w:val="24"/>
          <w:szCs w:val="24"/>
        </w:rPr>
        <w:t xml:space="preserve">. </w:t>
      </w:r>
      <w:r w:rsidRPr="002D096F">
        <w:rPr>
          <w:rFonts w:ascii="Comic Sans MS" w:hAnsi="Comic Sans MS" w:cstheme="minorHAnsi"/>
          <w:sz w:val="24"/>
          <w:szCs w:val="24"/>
        </w:rPr>
        <w:t>Buna göre kendisi hakkında tebliğ memuruna yalan beyanda bulunan muhatap veya muhatap adına tebligat almaya yetkisi olup ta olmadığını belirtmek veya muhatap olmadığı halde ya da muhatap adına tebligatı alma yetkisi olmadığı halde yetkisi var gibi davrananlar 1 yıla kadar hapis cezası ile cezalandırılır.</w:t>
      </w:r>
    </w:p>
    <w:p w:rsidR="00D753C5" w:rsidRPr="002D096F" w:rsidRDefault="00D753C5" w:rsidP="00D753C5">
      <w:pPr>
        <w:spacing w:after="0" w:line="240" w:lineRule="auto"/>
        <w:jc w:val="both"/>
        <w:rPr>
          <w:rFonts w:ascii="Comic Sans MS" w:hAnsi="Comic Sans MS" w:cstheme="minorHAnsi"/>
          <w:sz w:val="24"/>
          <w:szCs w:val="24"/>
        </w:rPr>
      </w:pPr>
    </w:p>
    <w:p w:rsidR="00D753C5" w:rsidRPr="002D096F" w:rsidRDefault="00D753C5" w:rsidP="00D753C5">
      <w:pPr>
        <w:spacing w:after="0" w:line="240" w:lineRule="auto"/>
        <w:jc w:val="both"/>
        <w:rPr>
          <w:rFonts w:ascii="Comic Sans MS" w:hAnsi="Comic Sans MS" w:cstheme="minorHAnsi"/>
          <w:sz w:val="24"/>
          <w:szCs w:val="24"/>
        </w:rPr>
      </w:pPr>
      <w:r w:rsidRPr="002D096F">
        <w:rPr>
          <w:rFonts w:ascii="Comic Sans MS" w:hAnsi="Comic Sans MS" w:cstheme="minorHAnsi"/>
          <w:b/>
          <w:sz w:val="24"/>
          <w:szCs w:val="24"/>
        </w:rPr>
        <w:t xml:space="preserve">Madde 56: </w:t>
      </w:r>
      <w:r w:rsidRPr="002D096F">
        <w:rPr>
          <w:rFonts w:ascii="Comic Sans MS" w:hAnsi="Comic Sans MS" w:cstheme="minorHAnsi"/>
          <w:sz w:val="24"/>
          <w:szCs w:val="24"/>
        </w:rPr>
        <w:t>Tebliğ evrakını koparanlar, imha edenler veya evrakı okunamaz hale getirenler 3 aydan 1 yıla kadar hapis cezası ve 25 günden 150 güne kadar adli para cezası alır.</w:t>
      </w:r>
    </w:p>
    <w:p w:rsidR="00D753C5" w:rsidRDefault="00D753C5" w:rsidP="00D753C5">
      <w:pPr>
        <w:spacing w:after="0" w:line="240" w:lineRule="auto"/>
        <w:ind w:firstLine="708"/>
        <w:jc w:val="both"/>
      </w:pPr>
    </w:p>
    <w:p w:rsidR="00AD3A91" w:rsidRDefault="00AD3A91">
      <w:bookmarkStart w:id="0" w:name="_GoBack"/>
      <w:bookmarkEnd w:id="0"/>
    </w:p>
    <w:sectPr w:rsidR="00AD3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omic Sans MS">
    <w:panose1 w:val="030F0702030302020204"/>
    <w:charset w:val="A2"/>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59"/>
    <w:rsid w:val="00275859"/>
    <w:rsid w:val="00AD3A91"/>
    <w:rsid w:val="00D75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A1C2C-63A0-4513-B307-A25A4507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3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2</cp:revision>
  <dcterms:created xsi:type="dcterms:W3CDTF">2017-12-27T22:15:00Z</dcterms:created>
  <dcterms:modified xsi:type="dcterms:W3CDTF">2017-12-27T22:15:00Z</dcterms:modified>
</cp:coreProperties>
</file>