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905" w:rsidRDefault="00916905" w:rsidP="00916905">
      <w:pPr>
        <w:jc w:val="both"/>
        <w:rPr>
          <w:rFonts w:asciiTheme="majorHAnsi" w:hAnsiTheme="majorHAnsi" w:cstheme="minorHAnsi"/>
          <w:b/>
          <w:sz w:val="28"/>
          <w:szCs w:val="28"/>
        </w:rPr>
      </w:pPr>
      <w:r>
        <w:rPr>
          <w:rFonts w:asciiTheme="majorHAnsi" w:hAnsiTheme="majorHAnsi" w:cstheme="minorHAnsi"/>
          <w:b/>
          <w:sz w:val="28"/>
          <w:szCs w:val="28"/>
        </w:rPr>
        <w:t>HUKUKİ İŞLEM</w:t>
      </w:r>
    </w:p>
    <w:p w:rsidR="00916905" w:rsidRDefault="00916905" w:rsidP="00916905">
      <w:pPr>
        <w:ind w:firstLine="708"/>
        <w:jc w:val="both"/>
        <w:rPr>
          <w:rFonts w:cstheme="minorHAnsi"/>
          <w:sz w:val="24"/>
          <w:szCs w:val="24"/>
        </w:rPr>
      </w:pPr>
      <w:r>
        <w:rPr>
          <w:rFonts w:cstheme="minorHAnsi"/>
          <w:sz w:val="24"/>
          <w:szCs w:val="24"/>
        </w:rPr>
        <w:t xml:space="preserve">Hukuki sonucu göre irade açıklaması, hukuki işlemler tek taraflı irade beyanı ile gerçekleşebilir. </w:t>
      </w:r>
      <w:proofErr w:type="gramStart"/>
      <w:r w:rsidRPr="00021F2D">
        <w:rPr>
          <w:rFonts w:cstheme="minorHAnsi"/>
          <w:b/>
          <w:sz w:val="24"/>
          <w:szCs w:val="24"/>
        </w:rPr>
        <w:t>ÖRNEĞİN; Vasiyetname düzenlemek, avukatı azmetmek.</w:t>
      </w:r>
      <w:r>
        <w:rPr>
          <w:rFonts w:cstheme="minorHAnsi"/>
          <w:sz w:val="24"/>
          <w:szCs w:val="24"/>
        </w:rPr>
        <w:t xml:space="preserve"> </w:t>
      </w:r>
      <w:proofErr w:type="gramEnd"/>
      <w:r>
        <w:rPr>
          <w:rFonts w:cstheme="minorHAnsi"/>
          <w:sz w:val="24"/>
          <w:szCs w:val="24"/>
        </w:rPr>
        <w:t>Hukuki işlemler iki taraflı ve çok taraflıda yapılabilir. Çok taraflı irade beyanına karar denir. Tarafların iradesine karşılıklı olarak yönlendirmesine sözleşme denir.</w:t>
      </w:r>
    </w:p>
    <w:p w:rsidR="00916905" w:rsidRDefault="00916905" w:rsidP="00916905">
      <w:pPr>
        <w:jc w:val="both"/>
        <w:rPr>
          <w:rFonts w:asciiTheme="majorHAnsi" w:hAnsiTheme="majorHAnsi" w:cstheme="minorHAnsi"/>
          <w:b/>
          <w:sz w:val="26"/>
          <w:szCs w:val="26"/>
        </w:rPr>
      </w:pPr>
    </w:p>
    <w:p w:rsidR="00916905" w:rsidRDefault="00916905" w:rsidP="00916905">
      <w:pPr>
        <w:jc w:val="both"/>
        <w:rPr>
          <w:rFonts w:asciiTheme="majorHAnsi" w:hAnsiTheme="majorHAnsi" w:cstheme="minorHAnsi"/>
          <w:b/>
          <w:sz w:val="26"/>
          <w:szCs w:val="26"/>
        </w:rPr>
      </w:pPr>
    </w:p>
    <w:p w:rsidR="00916905" w:rsidRDefault="00916905" w:rsidP="00916905">
      <w:pPr>
        <w:jc w:val="both"/>
        <w:rPr>
          <w:rFonts w:asciiTheme="majorHAnsi" w:hAnsiTheme="majorHAnsi" w:cstheme="minorHAnsi"/>
          <w:b/>
          <w:sz w:val="26"/>
          <w:szCs w:val="26"/>
        </w:rPr>
      </w:pPr>
      <w:r>
        <w:rPr>
          <w:rFonts w:asciiTheme="majorHAnsi" w:hAnsiTheme="majorHAnsi" w:cstheme="minorHAnsi"/>
          <w:b/>
          <w:sz w:val="26"/>
          <w:szCs w:val="26"/>
        </w:rPr>
        <w:t>TAAHHÜ</w:t>
      </w:r>
      <w:r w:rsidRPr="00901F32">
        <w:rPr>
          <w:rFonts w:asciiTheme="majorHAnsi" w:hAnsiTheme="majorHAnsi" w:cstheme="minorHAnsi"/>
          <w:b/>
          <w:sz w:val="26"/>
          <w:szCs w:val="26"/>
        </w:rPr>
        <w:t>T VE TASARRUF İŞLEMLERİ</w:t>
      </w:r>
    </w:p>
    <w:p w:rsidR="00916905" w:rsidRDefault="00916905" w:rsidP="00916905">
      <w:pPr>
        <w:ind w:firstLine="708"/>
        <w:jc w:val="both"/>
        <w:rPr>
          <w:rFonts w:cstheme="minorHAnsi"/>
          <w:b/>
          <w:sz w:val="24"/>
          <w:szCs w:val="24"/>
        </w:rPr>
      </w:pPr>
      <w:r>
        <w:rPr>
          <w:rFonts w:cstheme="minorHAnsi"/>
          <w:sz w:val="24"/>
          <w:szCs w:val="24"/>
        </w:rPr>
        <w:t xml:space="preserve">Taahhüt işlemleri mal varlığının pasifinde bir artış meydana getiren kişinin borçlarını arttıran bir işlemdir. </w:t>
      </w:r>
      <w:r w:rsidRPr="00901F32">
        <w:rPr>
          <w:rFonts w:cstheme="minorHAnsi"/>
          <w:b/>
          <w:sz w:val="24"/>
          <w:szCs w:val="24"/>
        </w:rPr>
        <w:t>Örneğin; Satım sözleşmesinin yapılmasıdır.</w:t>
      </w:r>
      <w:r>
        <w:rPr>
          <w:rFonts w:cstheme="minorHAnsi"/>
          <w:sz w:val="24"/>
          <w:szCs w:val="24"/>
        </w:rPr>
        <w:t xml:space="preserve"> Tasarruf işlemleri ise kişinin mal varlığının aktifinde bulunan haklar üzerinde başkası lehine bir hukuki durum yaratır. </w:t>
      </w:r>
      <w:proofErr w:type="gramStart"/>
      <w:r w:rsidRPr="00901F32">
        <w:rPr>
          <w:rFonts w:cstheme="minorHAnsi"/>
          <w:b/>
          <w:sz w:val="24"/>
          <w:szCs w:val="24"/>
        </w:rPr>
        <w:t>ÖRNEĞİN; Satılan malın karşı tarafa teslimi.</w:t>
      </w:r>
      <w:proofErr w:type="gramEnd"/>
    </w:p>
    <w:p w:rsidR="00916905" w:rsidRDefault="00916905" w:rsidP="00916905">
      <w:pPr>
        <w:jc w:val="both"/>
        <w:rPr>
          <w:rFonts w:asciiTheme="majorHAnsi" w:hAnsiTheme="majorHAnsi" w:cstheme="minorHAnsi"/>
          <w:b/>
          <w:sz w:val="26"/>
          <w:szCs w:val="26"/>
        </w:rPr>
      </w:pPr>
      <w:r>
        <w:rPr>
          <w:rFonts w:asciiTheme="majorHAnsi" w:hAnsiTheme="majorHAnsi" w:cstheme="minorHAnsi"/>
          <w:b/>
          <w:sz w:val="26"/>
          <w:szCs w:val="26"/>
        </w:rPr>
        <w:t>İLLİ İŞLEM- İLLETTEN MÜCERRET(SOYUT)</w:t>
      </w:r>
    </w:p>
    <w:p w:rsidR="00916905" w:rsidRDefault="00916905" w:rsidP="00916905">
      <w:pPr>
        <w:ind w:firstLine="708"/>
        <w:jc w:val="both"/>
        <w:rPr>
          <w:rFonts w:cstheme="minorHAnsi"/>
          <w:sz w:val="24"/>
          <w:szCs w:val="24"/>
        </w:rPr>
      </w:pPr>
      <w:r>
        <w:rPr>
          <w:rFonts w:cstheme="minorHAnsi"/>
          <w:sz w:val="24"/>
          <w:szCs w:val="24"/>
        </w:rPr>
        <w:t>İlli, sebebe bağlı demektir. Bir işlemin taahhüt şamasındaki geçersizlik, tasarruf aşamasının geçersizliği tasarruf aşamasını etkilemez.</w:t>
      </w:r>
    </w:p>
    <w:p w:rsidR="00916905" w:rsidRDefault="00916905" w:rsidP="00916905">
      <w:pPr>
        <w:jc w:val="both"/>
        <w:rPr>
          <w:rFonts w:cstheme="minorHAnsi"/>
          <w:sz w:val="24"/>
          <w:szCs w:val="24"/>
        </w:rPr>
      </w:pPr>
    </w:p>
    <w:p w:rsidR="00916905" w:rsidRDefault="00916905" w:rsidP="00916905">
      <w:pPr>
        <w:jc w:val="both"/>
        <w:rPr>
          <w:rFonts w:asciiTheme="majorHAnsi" w:hAnsiTheme="majorHAnsi" w:cstheme="minorHAnsi"/>
          <w:b/>
          <w:sz w:val="32"/>
          <w:szCs w:val="32"/>
        </w:rPr>
      </w:pPr>
      <w:r>
        <w:rPr>
          <w:rFonts w:asciiTheme="majorHAnsi" w:hAnsiTheme="majorHAnsi" w:cstheme="minorHAnsi"/>
          <w:b/>
          <w:sz w:val="32"/>
          <w:szCs w:val="32"/>
        </w:rPr>
        <w:t xml:space="preserve">MEDENİ HUKUK </w:t>
      </w:r>
    </w:p>
    <w:p w:rsidR="00916905" w:rsidRDefault="00916905" w:rsidP="00916905">
      <w:pPr>
        <w:ind w:firstLine="708"/>
        <w:jc w:val="both"/>
        <w:rPr>
          <w:rFonts w:cstheme="minorHAnsi"/>
          <w:sz w:val="24"/>
          <w:szCs w:val="24"/>
        </w:rPr>
      </w:pPr>
      <w:r>
        <w:rPr>
          <w:rFonts w:cstheme="minorHAnsi"/>
          <w:sz w:val="24"/>
          <w:szCs w:val="24"/>
        </w:rPr>
        <w:t>Özel hukuktun alt dalıdır. Medeni hukukun kaynakları yazılı ve yazısız olarak sınıflandırılabilir. Medeni hukukun en önemli kaynağı Medeni Kanun’dur. Medeni hukukla ilgili bir uyuşmazlıkta hâkimlik ilk olarak yazılı kaynaklara bakar. Yazılı kaynaklarda bir düzenleme mevcut değilse yazısız kaynak örf ve âdete bakıp hâkim hukuk yaratır.</w:t>
      </w:r>
    </w:p>
    <w:p w:rsidR="00916905" w:rsidRDefault="00916905" w:rsidP="00916905">
      <w:pPr>
        <w:jc w:val="both"/>
        <w:rPr>
          <w:rFonts w:asciiTheme="majorHAnsi" w:hAnsiTheme="majorHAnsi" w:cstheme="minorHAnsi"/>
          <w:b/>
          <w:sz w:val="26"/>
          <w:szCs w:val="26"/>
        </w:rPr>
      </w:pPr>
      <w:r>
        <w:rPr>
          <w:rFonts w:asciiTheme="majorHAnsi" w:hAnsiTheme="majorHAnsi" w:cstheme="minorHAnsi"/>
          <w:b/>
          <w:sz w:val="26"/>
          <w:szCs w:val="26"/>
        </w:rPr>
        <w:t>KANUN</w:t>
      </w:r>
    </w:p>
    <w:p w:rsidR="00916905" w:rsidRDefault="00916905" w:rsidP="00916905">
      <w:pPr>
        <w:ind w:firstLine="708"/>
        <w:jc w:val="both"/>
        <w:rPr>
          <w:rFonts w:cstheme="minorHAnsi"/>
          <w:sz w:val="24"/>
          <w:szCs w:val="24"/>
        </w:rPr>
      </w:pPr>
      <w:r>
        <w:rPr>
          <w:rFonts w:cstheme="minorHAnsi"/>
          <w:sz w:val="24"/>
          <w:szCs w:val="24"/>
        </w:rPr>
        <w:t xml:space="preserve"> Meclis tarafından yapılır. Cumhurbaşkanı imzalar ve yayımlanır. Cumhurbaşkanı kendisine gönderilen metni 15 gün içinde imzalar ya da meclise geri gönderir. Cumhurbaşkanın bütçe kanunlarını geri gönderme hakkı yoktur. Kanunlar resmi gazetede yayımlanır. Yürürlük tarihi gösterilmediyse resmi gazete yayını izleyen günden itibaren 45 gün sonra yürürlüğe girer.</w:t>
      </w:r>
    </w:p>
    <w:p w:rsidR="00916905" w:rsidRDefault="00916905" w:rsidP="00916905">
      <w:pPr>
        <w:jc w:val="both"/>
        <w:rPr>
          <w:rFonts w:asciiTheme="majorHAnsi" w:hAnsiTheme="majorHAnsi" w:cstheme="minorHAnsi"/>
          <w:b/>
          <w:sz w:val="26"/>
          <w:szCs w:val="26"/>
        </w:rPr>
      </w:pPr>
      <w:r>
        <w:rPr>
          <w:rFonts w:asciiTheme="majorHAnsi" w:hAnsiTheme="majorHAnsi" w:cstheme="minorHAnsi"/>
          <w:b/>
          <w:sz w:val="26"/>
          <w:szCs w:val="26"/>
        </w:rPr>
        <w:t>ULUSLARARASI ANTLAŞMALAR</w:t>
      </w:r>
    </w:p>
    <w:p w:rsidR="00916905" w:rsidRDefault="00916905" w:rsidP="00916905">
      <w:pPr>
        <w:ind w:firstLine="708"/>
        <w:jc w:val="both"/>
        <w:rPr>
          <w:rFonts w:cstheme="minorHAnsi"/>
          <w:sz w:val="24"/>
          <w:szCs w:val="24"/>
        </w:rPr>
      </w:pPr>
      <w:r>
        <w:rPr>
          <w:rFonts w:cstheme="minorHAnsi"/>
          <w:sz w:val="24"/>
          <w:szCs w:val="24"/>
        </w:rPr>
        <w:t>Usulüne uygun olarak yürürlüğe konulmuş uluslararası antlaşmalar kanun hükmüdür. Meclis bu anlaşmayı kanunla uygun bulmalı, cumhurbaşkanı onaylamalıdır. Bu anlaşmalar için anayasa mahkemesine iptal davası açılamaz.</w:t>
      </w:r>
    </w:p>
    <w:p w:rsidR="00916905" w:rsidRDefault="00916905" w:rsidP="00916905">
      <w:pPr>
        <w:jc w:val="both"/>
        <w:rPr>
          <w:rFonts w:asciiTheme="majorHAnsi" w:hAnsiTheme="majorHAnsi" w:cstheme="minorHAnsi"/>
          <w:b/>
          <w:sz w:val="26"/>
          <w:szCs w:val="26"/>
        </w:rPr>
      </w:pPr>
      <w:r>
        <w:rPr>
          <w:rFonts w:asciiTheme="majorHAnsi" w:hAnsiTheme="majorHAnsi" w:cstheme="minorHAnsi"/>
          <w:b/>
          <w:sz w:val="26"/>
          <w:szCs w:val="26"/>
        </w:rPr>
        <w:lastRenderedPageBreak/>
        <w:t>KANUN HÜKÜNDE KARARNAME</w:t>
      </w:r>
    </w:p>
    <w:p w:rsidR="00916905" w:rsidRDefault="00916905" w:rsidP="00916905">
      <w:pPr>
        <w:ind w:firstLine="708"/>
        <w:jc w:val="both"/>
        <w:rPr>
          <w:rFonts w:cstheme="minorHAnsi"/>
          <w:sz w:val="24"/>
          <w:szCs w:val="24"/>
        </w:rPr>
      </w:pPr>
      <w:r>
        <w:rPr>
          <w:rFonts w:cstheme="minorHAnsi"/>
          <w:sz w:val="24"/>
          <w:szCs w:val="24"/>
        </w:rPr>
        <w:t>Bakanlar kurulu tarafından maddi anlamda kanun gücüne sahip olan düzenlemelerdir. Cumhurbaşkanı imzalar. Cumhurbaşkanının KHK’ları geri çevirme yetkisi yoktur. Olağan dönemlerde KHK çıkarılması için bin yetki kanuna ihtiyaç vardır. Bu KHK ile temel hak ve ödevler, siyasi hak ve ödevler düzenlenemez. Olağanüstü durumlarda hükümetin KHK çıkarabilmesi için yetki kanuna gerek yoktur. Telem hak ve özgürlükler bu dönemde çıkarılan KHK konularını oluşturabilir.</w:t>
      </w:r>
    </w:p>
    <w:p w:rsidR="00916905" w:rsidRDefault="00916905" w:rsidP="00916905">
      <w:pPr>
        <w:jc w:val="both"/>
        <w:rPr>
          <w:rFonts w:asciiTheme="majorHAnsi" w:hAnsiTheme="majorHAnsi" w:cstheme="minorHAnsi"/>
          <w:b/>
          <w:sz w:val="26"/>
          <w:szCs w:val="26"/>
        </w:rPr>
      </w:pPr>
    </w:p>
    <w:p w:rsidR="00916905" w:rsidRDefault="00916905" w:rsidP="00916905">
      <w:pPr>
        <w:jc w:val="both"/>
        <w:rPr>
          <w:rFonts w:asciiTheme="majorHAnsi" w:hAnsiTheme="majorHAnsi" w:cstheme="minorHAnsi"/>
          <w:b/>
          <w:sz w:val="26"/>
          <w:szCs w:val="26"/>
        </w:rPr>
      </w:pPr>
      <w:r>
        <w:rPr>
          <w:rFonts w:asciiTheme="majorHAnsi" w:hAnsiTheme="majorHAnsi" w:cstheme="minorHAnsi"/>
          <w:b/>
          <w:sz w:val="26"/>
          <w:szCs w:val="26"/>
        </w:rPr>
        <w:t>TÜZÜK</w:t>
      </w:r>
    </w:p>
    <w:p w:rsidR="00916905" w:rsidRDefault="00916905" w:rsidP="00916905">
      <w:pPr>
        <w:ind w:firstLine="708"/>
        <w:jc w:val="both"/>
        <w:rPr>
          <w:rFonts w:cstheme="minorHAnsi"/>
          <w:sz w:val="24"/>
          <w:szCs w:val="24"/>
        </w:rPr>
      </w:pPr>
      <w:r>
        <w:rPr>
          <w:rFonts w:cstheme="minorHAnsi"/>
          <w:sz w:val="24"/>
          <w:szCs w:val="24"/>
        </w:rPr>
        <w:t>Kanunların uygulanmasını göstermek veya emrettiği işleri belirtmek üzere kanun aykırı olmamak ve Danıştay incelemesinden geçirilmek üzere bakanlar kurulu tarafından çıkartılan kurallardır. Dayandığı bir kanun olmalıdır. Cumhurbaşkanı tarafından imzalanır ve yayımlanır.</w:t>
      </w:r>
    </w:p>
    <w:p w:rsidR="00916905" w:rsidRDefault="00916905" w:rsidP="00916905">
      <w:pPr>
        <w:jc w:val="both"/>
        <w:rPr>
          <w:rFonts w:asciiTheme="majorHAnsi" w:hAnsiTheme="majorHAnsi" w:cstheme="minorHAnsi"/>
          <w:b/>
          <w:sz w:val="26"/>
          <w:szCs w:val="26"/>
        </w:rPr>
      </w:pPr>
      <w:r>
        <w:rPr>
          <w:rFonts w:asciiTheme="majorHAnsi" w:hAnsiTheme="majorHAnsi" w:cstheme="minorHAnsi"/>
          <w:b/>
          <w:sz w:val="26"/>
          <w:szCs w:val="26"/>
        </w:rPr>
        <w:t>YÖNETMELİK</w:t>
      </w:r>
    </w:p>
    <w:p w:rsidR="00916905" w:rsidRDefault="00916905" w:rsidP="00916905">
      <w:pPr>
        <w:ind w:firstLine="708"/>
        <w:jc w:val="both"/>
        <w:rPr>
          <w:rFonts w:cstheme="minorHAnsi"/>
          <w:sz w:val="24"/>
          <w:szCs w:val="24"/>
        </w:rPr>
      </w:pPr>
      <w:r>
        <w:rPr>
          <w:rFonts w:cstheme="minorHAnsi"/>
          <w:sz w:val="24"/>
          <w:szCs w:val="24"/>
        </w:rPr>
        <w:t>Başbakanlık, bakanlık ve kamu tüzel kişileri tarafından kendi görev alanlarını ilgilendiren kanunların ve tüzüklerin uygulanmasını sağlamak üzere çıkarılır.</w:t>
      </w:r>
    </w:p>
    <w:p w:rsidR="00916905" w:rsidRDefault="00916905" w:rsidP="00916905">
      <w:pPr>
        <w:jc w:val="both"/>
        <w:rPr>
          <w:rFonts w:cstheme="minorHAnsi"/>
          <w:sz w:val="24"/>
          <w:szCs w:val="24"/>
        </w:rPr>
      </w:pPr>
    </w:p>
    <w:p w:rsidR="004268DD" w:rsidRDefault="004268DD">
      <w:bookmarkStart w:id="0" w:name="_GoBack"/>
      <w:bookmarkEnd w:id="0"/>
    </w:p>
    <w:sectPr w:rsidR="004268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F6"/>
    <w:rsid w:val="004268DD"/>
    <w:rsid w:val="005435F6"/>
    <w:rsid w:val="009169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3776F-CD85-47CB-8326-7DA481CD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905"/>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Atila Yoruk</dc:creator>
  <cp:keywords/>
  <dc:description/>
  <cp:lastModifiedBy>Pelin Atila Yoruk</cp:lastModifiedBy>
  <cp:revision>2</cp:revision>
  <dcterms:created xsi:type="dcterms:W3CDTF">2017-12-27T22:24:00Z</dcterms:created>
  <dcterms:modified xsi:type="dcterms:W3CDTF">2017-12-27T22:24:00Z</dcterms:modified>
</cp:coreProperties>
</file>