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799A" w:rsidRDefault="009A799A" w:rsidP="009A799A">
      <w:pPr>
        <w:jc w:val="both"/>
        <w:rPr>
          <w:rFonts w:asciiTheme="majorHAnsi" w:hAnsiTheme="majorHAnsi" w:cstheme="minorHAnsi"/>
          <w:b/>
          <w:sz w:val="30"/>
          <w:szCs w:val="30"/>
        </w:rPr>
      </w:pPr>
      <w:r w:rsidRPr="0082194C">
        <w:rPr>
          <w:rFonts w:asciiTheme="majorHAnsi" w:hAnsiTheme="majorHAnsi" w:cstheme="minorHAnsi"/>
          <w:b/>
          <w:sz w:val="30"/>
          <w:szCs w:val="30"/>
        </w:rPr>
        <w:t>MEDENİ KANUNUN BAŞLANGIÇ ESASALARI</w:t>
      </w:r>
    </w:p>
    <w:p w:rsidR="009A799A" w:rsidRDefault="009A799A" w:rsidP="009A799A">
      <w:pPr>
        <w:ind w:firstLine="708"/>
        <w:jc w:val="both"/>
        <w:rPr>
          <w:rFonts w:cstheme="minorHAnsi"/>
          <w:sz w:val="24"/>
          <w:szCs w:val="24"/>
        </w:rPr>
      </w:pPr>
      <w:r>
        <w:rPr>
          <w:rFonts w:cstheme="minorHAnsi"/>
          <w:sz w:val="24"/>
          <w:szCs w:val="24"/>
        </w:rPr>
        <w:t>Medeni kanuna göre herkes haklarını kullanırken ve borçlarını yerine getirirken dürüstlük kurallarına uymak zorundadır.3.maddeye göre bu kanun ve borçlar kanunun genel nitelikli hükümleri uygun düştüğü ölçüde özel hukuk ilişkilerine uygulanır.</w:t>
      </w:r>
    </w:p>
    <w:p w:rsidR="009A799A" w:rsidRDefault="009A799A" w:rsidP="009A799A">
      <w:pPr>
        <w:jc w:val="both"/>
        <w:rPr>
          <w:rFonts w:asciiTheme="majorHAnsi" w:hAnsiTheme="majorHAnsi" w:cstheme="minorHAnsi"/>
          <w:b/>
          <w:sz w:val="26"/>
          <w:szCs w:val="26"/>
        </w:rPr>
      </w:pPr>
      <w:r>
        <w:rPr>
          <w:rFonts w:cstheme="minorHAnsi"/>
          <w:sz w:val="24"/>
          <w:szCs w:val="24"/>
        </w:rPr>
        <w:tab/>
      </w:r>
      <w:r w:rsidRPr="00866D1F">
        <w:rPr>
          <w:rFonts w:asciiTheme="majorHAnsi" w:hAnsiTheme="majorHAnsi" w:cstheme="minorHAnsi"/>
          <w:b/>
          <w:sz w:val="26"/>
          <w:szCs w:val="26"/>
        </w:rPr>
        <w:t>KANUNLARIN YORUMLANMASI</w:t>
      </w:r>
    </w:p>
    <w:p w:rsidR="009A799A" w:rsidRDefault="009A799A" w:rsidP="009A799A">
      <w:pPr>
        <w:ind w:firstLine="708"/>
        <w:jc w:val="both"/>
        <w:rPr>
          <w:rFonts w:cstheme="minorHAnsi"/>
          <w:sz w:val="24"/>
          <w:szCs w:val="24"/>
        </w:rPr>
      </w:pPr>
      <w:r>
        <w:rPr>
          <w:rFonts w:cstheme="minorHAnsi"/>
          <w:sz w:val="24"/>
          <w:szCs w:val="24"/>
        </w:rPr>
        <w:t xml:space="preserve">Yorumdan anlaşılması gereken kanun koyucunun düşüncesi ve içeriğinin açıklanmasıdır. Yorumdan kanun metnini sözcükleri dil bilgisi esas alınır. Bunun yanında kanunun </w:t>
      </w:r>
      <w:proofErr w:type="spellStart"/>
      <w:r>
        <w:rPr>
          <w:rFonts w:cstheme="minorHAnsi"/>
          <w:sz w:val="24"/>
          <w:szCs w:val="24"/>
        </w:rPr>
        <w:t>âmâcıda</w:t>
      </w:r>
      <w:proofErr w:type="spellEnd"/>
      <w:r>
        <w:rPr>
          <w:rFonts w:cstheme="minorHAnsi"/>
          <w:sz w:val="24"/>
          <w:szCs w:val="24"/>
        </w:rPr>
        <w:t xml:space="preserve"> yorumlanabilir. Buna </w:t>
      </w:r>
      <w:proofErr w:type="spellStart"/>
      <w:r>
        <w:rPr>
          <w:rFonts w:cstheme="minorHAnsi"/>
          <w:sz w:val="24"/>
          <w:szCs w:val="24"/>
        </w:rPr>
        <w:t>gai</w:t>
      </w:r>
      <w:proofErr w:type="spellEnd"/>
      <w:r>
        <w:rPr>
          <w:rFonts w:cstheme="minorHAnsi"/>
          <w:sz w:val="24"/>
          <w:szCs w:val="24"/>
        </w:rPr>
        <w:t xml:space="preserve"> denir. Kanun koyucunun kanunu oluşturduğu, döneme ait iradesini yorumlamasak da tarihi yorumdur.</w:t>
      </w:r>
    </w:p>
    <w:p w:rsidR="009A799A" w:rsidRDefault="009A799A" w:rsidP="009A799A">
      <w:pPr>
        <w:ind w:firstLine="708"/>
        <w:jc w:val="both"/>
        <w:rPr>
          <w:rFonts w:asciiTheme="majorHAnsi" w:hAnsiTheme="majorHAnsi" w:cstheme="minorHAnsi"/>
          <w:b/>
          <w:sz w:val="26"/>
          <w:szCs w:val="26"/>
        </w:rPr>
      </w:pPr>
      <w:r>
        <w:rPr>
          <w:rFonts w:asciiTheme="majorHAnsi" w:hAnsiTheme="majorHAnsi" w:cstheme="minorHAnsi"/>
          <w:b/>
          <w:sz w:val="26"/>
          <w:szCs w:val="26"/>
        </w:rPr>
        <w:t>KANUNUN TAMAMLANMASI</w:t>
      </w:r>
    </w:p>
    <w:p w:rsidR="009A799A" w:rsidRPr="00E912CA" w:rsidRDefault="009A799A" w:rsidP="009A799A">
      <w:pPr>
        <w:ind w:firstLine="708"/>
        <w:jc w:val="both"/>
        <w:rPr>
          <w:rFonts w:cstheme="minorHAnsi"/>
          <w:sz w:val="24"/>
          <w:szCs w:val="24"/>
        </w:rPr>
      </w:pPr>
      <w:r>
        <w:rPr>
          <w:rFonts w:cstheme="minorHAnsi"/>
          <w:sz w:val="24"/>
          <w:szCs w:val="24"/>
        </w:rPr>
        <w:t>Gerekli kanuni düzenlemelerde eksiklik varsa kanun boşluğundan söz edilebilir. Kanun koyucu hukukun dışına kalan ile ilgilenemez. Kanun koyucu bazı durumlarda kasıtlı olarak ta susabilir.</w:t>
      </w:r>
    </w:p>
    <w:p w:rsidR="009A799A" w:rsidRDefault="009A799A" w:rsidP="009A799A">
      <w:pPr>
        <w:ind w:firstLine="708"/>
        <w:jc w:val="both"/>
        <w:rPr>
          <w:rFonts w:asciiTheme="majorHAnsi" w:hAnsiTheme="majorHAnsi" w:cstheme="minorHAnsi"/>
          <w:b/>
          <w:sz w:val="26"/>
          <w:szCs w:val="26"/>
        </w:rPr>
      </w:pPr>
      <w:r>
        <w:rPr>
          <w:rFonts w:asciiTheme="majorHAnsi" w:hAnsiTheme="majorHAnsi" w:cstheme="minorHAnsi"/>
          <w:b/>
          <w:sz w:val="26"/>
          <w:szCs w:val="26"/>
        </w:rPr>
        <w:t xml:space="preserve">KURAL İÇİ BOŞLUK </w:t>
      </w:r>
    </w:p>
    <w:p w:rsidR="009A799A" w:rsidRDefault="009A799A" w:rsidP="009A799A">
      <w:pPr>
        <w:ind w:firstLine="708"/>
        <w:jc w:val="both"/>
        <w:rPr>
          <w:rFonts w:cstheme="minorHAnsi"/>
          <w:sz w:val="24"/>
          <w:szCs w:val="24"/>
        </w:rPr>
      </w:pPr>
      <w:r w:rsidRPr="0009618D">
        <w:rPr>
          <w:rFonts w:cstheme="minorHAnsi"/>
          <w:sz w:val="24"/>
          <w:szCs w:val="24"/>
        </w:rPr>
        <w:t>Kanunda olaya ilişkin çözüm</w:t>
      </w:r>
      <w:r>
        <w:rPr>
          <w:rFonts w:cstheme="minorHAnsi"/>
          <w:sz w:val="24"/>
          <w:szCs w:val="24"/>
        </w:rPr>
        <w:t xml:space="preserve"> var fakat alaya uygulanması mümkün değilse kural içi boşluktan söz edilir.</w:t>
      </w:r>
    </w:p>
    <w:p w:rsidR="009A799A" w:rsidRDefault="009A799A" w:rsidP="009A799A">
      <w:pPr>
        <w:ind w:firstLine="708"/>
        <w:jc w:val="both"/>
        <w:rPr>
          <w:rFonts w:asciiTheme="majorHAnsi" w:hAnsiTheme="majorHAnsi" w:cstheme="minorHAnsi"/>
          <w:b/>
          <w:sz w:val="26"/>
          <w:szCs w:val="26"/>
        </w:rPr>
      </w:pPr>
      <w:r>
        <w:rPr>
          <w:rFonts w:asciiTheme="majorHAnsi" w:hAnsiTheme="majorHAnsi" w:cstheme="minorHAnsi"/>
          <w:b/>
          <w:sz w:val="26"/>
          <w:szCs w:val="26"/>
        </w:rPr>
        <w:t xml:space="preserve">KURAL DIŞI BOŞLUK </w:t>
      </w:r>
    </w:p>
    <w:p w:rsidR="009A799A" w:rsidRPr="00804198" w:rsidRDefault="009A799A" w:rsidP="009A799A">
      <w:pPr>
        <w:ind w:firstLine="708"/>
        <w:jc w:val="both"/>
        <w:rPr>
          <w:rFonts w:cstheme="minorHAnsi"/>
          <w:b/>
          <w:sz w:val="24"/>
          <w:szCs w:val="24"/>
        </w:rPr>
      </w:pPr>
      <w:r>
        <w:rPr>
          <w:rFonts w:cstheme="minorHAnsi"/>
          <w:sz w:val="24"/>
          <w:szCs w:val="24"/>
        </w:rPr>
        <w:t xml:space="preserve">Kural içi boşluğun dışında kalan boşluktur. Gerçek boşluk olabileceği gibi gerçek olmayan boşlukta olabilir. </w:t>
      </w:r>
      <w:r w:rsidRPr="00804198">
        <w:rPr>
          <w:rFonts w:cstheme="minorHAnsi"/>
          <w:b/>
          <w:sz w:val="24"/>
          <w:szCs w:val="24"/>
        </w:rPr>
        <w:t>Örneğin; kanunda ceza masraflarını kimin ödeyeceği belirtilmemiş gerçek boşluktur.</w:t>
      </w:r>
    </w:p>
    <w:p w:rsidR="009A799A" w:rsidRPr="00D64EDD" w:rsidRDefault="009A799A" w:rsidP="009A799A">
      <w:pPr>
        <w:jc w:val="both"/>
        <w:rPr>
          <w:rFonts w:cstheme="minorHAnsi"/>
          <w:sz w:val="24"/>
          <w:szCs w:val="24"/>
        </w:rPr>
      </w:pPr>
    </w:p>
    <w:p w:rsidR="009A799A" w:rsidRDefault="009A799A" w:rsidP="009A799A">
      <w:pPr>
        <w:jc w:val="both"/>
        <w:rPr>
          <w:rFonts w:cstheme="minorHAnsi"/>
          <w:sz w:val="24"/>
          <w:szCs w:val="24"/>
        </w:rPr>
      </w:pPr>
    </w:p>
    <w:p w:rsidR="009A799A" w:rsidRDefault="009A799A" w:rsidP="009A799A">
      <w:pPr>
        <w:ind w:firstLine="708"/>
        <w:jc w:val="both"/>
        <w:rPr>
          <w:rFonts w:asciiTheme="majorHAnsi" w:hAnsiTheme="majorHAnsi" w:cstheme="minorHAnsi"/>
          <w:b/>
          <w:sz w:val="26"/>
          <w:szCs w:val="26"/>
        </w:rPr>
      </w:pPr>
      <w:r>
        <w:rPr>
          <w:rFonts w:asciiTheme="majorHAnsi" w:hAnsiTheme="majorHAnsi" w:cstheme="minorHAnsi"/>
          <w:b/>
          <w:sz w:val="26"/>
          <w:szCs w:val="26"/>
        </w:rPr>
        <w:t>ÖRF VE ADET</w:t>
      </w:r>
    </w:p>
    <w:p w:rsidR="009A799A" w:rsidRDefault="009A799A" w:rsidP="009A799A">
      <w:pPr>
        <w:ind w:firstLine="708"/>
        <w:jc w:val="both"/>
        <w:rPr>
          <w:rFonts w:cstheme="minorHAnsi"/>
          <w:sz w:val="24"/>
          <w:szCs w:val="24"/>
        </w:rPr>
      </w:pPr>
      <w:r>
        <w:rPr>
          <w:rFonts w:cstheme="minorHAnsi"/>
          <w:sz w:val="24"/>
          <w:szCs w:val="24"/>
        </w:rPr>
        <w:t>Genel, soyut, uygulanması yönünde genel bir inanış taşıyan kurallardır. Örf ve adet kuralları uzun zamandan beri uygulanan taraf irade yorumunda gerekirse sözleşmenin tamamlanmasında uygulanır. Örf ve adet yöresel olabileceği gibi ülke bazında uygulanacak şeklinde yaygında olabilir. Hatta örf ve adet, belirli bir zümreye hitap ediyorsa özel örf ve adet, fakat bütün herkese kapsıyorsa genel örf ve adet olarak adlandırılır.</w:t>
      </w:r>
    </w:p>
    <w:p w:rsidR="009A799A" w:rsidRDefault="009A799A" w:rsidP="009A799A">
      <w:pPr>
        <w:ind w:firstLine="708"/>
        <w:jc w:val="both"/>
        <w:rPr>
          <w:rFonts w:asciiTheme="majorHAnsi" w:hAnsiTheme="majorHAnsi" w:cstheme="minorHAnsi"/>
          <w:b/>
          <w:sz w:val="26"/>
          <w:szCs w:val="26"/>
        </w:rPr>
      </w:pPr>
      <w:r>
        <w:rPr>
          <w:rFonts w:asciiTheme="majorHAnsi" w:hAnsiTheme="majorHAnsi" w:cstheme="minorHAnsi"/>
          <w:b/>
          <w:sz w:val="26"/>
          <w:szCs w:val="26"/>
        </w:rPr>
        <w:t>HÂKİMİN HUKUK YARATMASI</w:t>
      </w:r>
    </w:p>
    <w:p w:rsidR="009A799A" w:rsidRPr="00C72243" w:rsidRDefault="009A799A" w:rsidP="009A799A">
      <w:pPr>
        <w:ind w:firstLine="708"/>
        <w:jc w:val="both"/>
        <w:rPr>
          <w:rFonts w:cstheme="minorHAnsi"/>
          <w:sz w:val="24"/>
          <w:szCs w:val="24"/>
        </w:rPr>
      </w:pPr>
      <w:r>
        <w:rPr>
          <w:rFonts w:cstheme="minorHAnsi"/>
          <w:sz w:val="24"/>
          <w:szCs w:val="24"/>
        </w:rPr>
        <w:t xml:space="preserve">Yazılı kaynaklarda ve yazısız kaynaklarda hiçbir düzenlemeyi uyuşmazlıkta uygulayamıyorsa hukuk yaratır. Oluşturulacak kural genel ve soyut olmalıdır. Bu kuralları oluşturulan mevcut hukuk ilkelerinde göz önünde bulundurmalıdır. Hâkimin hukuk yaratması </w:t>
      </w:r>
      <w:r>
        <w:rPr>
          <w:rFonts w:cstheme="minorHAnsi"/>
          <w:sz w:val="24"/>
          <w:szCs w:val="24"/>
        </w:rPr>
        <w:lastRenderedPageBreak/>
        <w:t>için mevcut hukuk boşluğu ya kıyas yöntemiyle ya da orijinal bir kural yaratmayla olur. Kıyas yönteminde belirli bir durum için ön görülen kuralın benzer başka bir durum için evleviyetle uygulaması durumunu içerir. Hâkim hukukun genel ilkeleriyle de boşluk doldurabilir. Duruma göre hâkim yasa koyucuymuş gibi genel ve soyut kural koyarak boşluğu doldurabilir. Hâkimin yarattığı kural kanun niteliği taşımaz. Burada kuvvetler ayrılığı ilkesine aykırılık yoktur. Bu kural hâkimin bir başka görmekte olduğu davada bağlamaz. Bu kural üst yargı denetimine bağıl değildir.</w:t>
      </w:r>
    </w:p>
    <w:p w:rsidR="009A799A" w:rsidRDefault="009A799A" w:rsidP="009A799A">
      <w:pPr>
        <w:ind w:firstLine="708"/>
        <w:jc w:val="both"/>
        <w:rPr>
          <w:rFonts w:asciiTheme="majorHAnsi" w:hAnsiTheme="majorHAnsi" w:cstheme="minorHAnsi"/>
          <w:b/>
          <w:sz w:val="26"/>
          <w:szCs w:val="26"/>
        </w:rPr>
      </w:pPr>
      <w:r>
        <w:rPr>
          <w:rFonts w:asciiTheme="majorHAnsi" w:hAnsiTheme="majorHAnsi" w:cstheme="minorHAnsi"/>
          <w:b/>
          <w:sz w:val="26"/>
          <w:szCs w:val="26"/>
        </w:rPr>
        <w:t>TAKDİR YETKİSİ</w:t>
      </w:r>
    </w:p>
    <w:p w:rsidR="009A799A" w:rsidRDefault="009A799A" w:rsidP="009A799A">
      <w:pPr>
        <w:ind w:firstLine="708"/>
        <w:jc w:val="both"/>
        <w:rPr>
          <w:rFonts w:cstheme="minorHAnsi"/>
          <w:sz w:val="24"/>
          <w:szCs w:val="24"/>
        </w:rPr>
      </w:pPr>
      <w:r>
        <w:rPr>
          <w:rFonts w:cstheme="minorHAnsi"/>
          <w:sz w:val="24"/>
          <w:szCs w:val="24"/>
        </w:rPr>
        <w:t>Kanun koyucunun bilerek ve isteyerek bıraktığı kural içi boşluklara hukuku uygulayarak alanlara somut olayın özelliklerini toplumdaki ahlaki düşüncelerine kuralının amacını göz önünde tutarak doldurulması için verilen yetkidir. Örneğin; boşanma davasına bakan hâkim velayeti eşlerden birine bırakabilir. Kime bırakacağı ise takdir yetkisindedir. Hâkim bu yetkisi sınırsız ve keyfi kullanamaz. Hâkimin takdir yetkisi hukuk ve adalete uygun olmalı ve bu yetki üst yargı denetimlere tabidir.</w:t>
      </w:r>
    </w:p>
    <w:p w:rsidR="004268DD" w:rsidRDefault="004268DD">
      <w:bookmarkStart w:id="0" w:name="_GoBack"/>
      <w:bookmarkEnd w:id="0"/>
    </w:p>
    <w:sectPr w:rsidR="004268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154"/>
    <w:rsid w:val="001D5154"/>
    <w:rsid w:val="004268DD"/>
    <w:rsid w:val="009A79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71B643-81DE-4A2A-A078-9F48CBD49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799A"/>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2494</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Pelin Atila Yoruk</dc:creator>
  <cp:keywords/>
  <dc:description/>
  <cp:lastModifiedBy>Pelin Atila Yoruk</cp:lastModifiedBy>
  <cp:revision>2</cp:revision>
  <dcterms:created xsi:type="dcterms:W3CDTF">2017-12-27T22:27:00Z</dcterms:created>
  <dcterms:modified xsi:type="dcterms:W3CDTF">2017-12-27T22:27:00Z</dcterms:modified>
</cp:coreProperties>
</file>