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474" w:rsidRDefault="00591474" w:rsidP="00591474">
      <w:pPr>
        <w:jc w:val="both"/>
        <w:rPr>
          <w:rFonts w:asciiTheme="majorHAnsi" w:hAnsiTheme="majorHAnsi" w:cstheme="minorHAnsi"/>
          <w:b/>
          <w:sz w:val="30"/>
          <w:szCs w:val="30"/>
        </w:rPr>
      </w:pPr>
      <w:r>
        <w:rPr>
          <w:rFonts w:asciiTheme="majorHAnsi" w:hAnsiTheme="majorHAnsi" w:cstheme="minorHAnsi"/>
          <w:b/>
          <w:sz w:val="30"/>
          <w:szCs w:val="30"/>
        </w:rPr>
        <w:t>MEDENİ HUKUK UYGULANMASINA YARDIMCI ARAÇLAR</w:t>
      </w:r>
      <w:r w:rsidR="0085595E">
        <w:rPr>
          <w:rFonts w:asciiTheme="majorHAnsi" w:hAnsiTheme="majorHAnsi" w:cstheme="minorHAnsi"/>
          <w:b/>
          <w:sz w:val="30"/>
          <w:szCs w:val="30"/>
        </w:rPr>
        <w:t>I</w:t>
      </w:r>
      <w:bookmarkStart w:id="0" w:name="_GoBack"/>
      <w:bookmarkEnd w:id="0"/>
    </w:p>
    <w:p w:rsidR="00591474" w:rsidRDefault="00591474" w:rsidP="00591474">
      <w:pPr>
        <w:jc w:val="both"/>
        <w:rPr>
          <w:rFonts w:asciiTheme="majorHAnsi" w:hAnsiTheme="majorHAnsi" w:cstheme="minorHAnsi"/>
          <w:b/>
          <w:sz w:val="26"/>
          <w:szCs w:val="26"/>
        </w:rPr>
      </w:pPr>
    </w:p>
    <w:p w:rsidR="00591474" w:rsidRDefault="00591474" w:rsidP="00591474">
      <w:pPr>
        <w:jc w:val="both"/>
        <w:rPr>
          <w:rFonts w:asciiTheme="majorHAnsi" w:hAnsiTheme="majorHAnsi" w:cstheme="minorHAnsi"/>
          <w:b/>
          <w:sz w:val="26"/>
          <w:szCs w:val="26"/>
        </w:rPr>
      </w:pPr>
      <w:r w:rsidRPr="00813301">
        <w:rPr>
          <w:rFonts w:asciiTheme="majorHAnsi" w:hAnsiTheme="majorHAnsi" w:cstheme="minorHAnsi"/>
          <w:b/>
          <w:sz w:val="26"/>
          <w:szCs w:val="26"/>
        </w:rPr>
        <w:t>ÖĞRETİ(DOKTRİN)</w:t>
      </w:r>
    </w:p>
    <w:p w:rsidR="00591474" w:rsidRDefault="00591474" w:rsidP="00591474">
      <w:pPr>
        <w:ind w:firstLine="708"/>
        <w:jc w:val="both"/>
        <w:rPr>
          <w:rFonts w:cstheme="minorHAnsi"/>
          <w:sz w:val="24"/>
          <w:szCs w:val="24"/>
        </w:rPr>
      </w:pPr>
      <w:r>
        <w:rPr>
          <w:rFonts w:cstheme="minorHAnsi"/>
          <w:sz w:val="24"/>
          <w:szCs w:val="24"/>
        </w:rPr>
        <w:t>Hukuk bilim adamları tartışmalı olan konularda benimsediği görüşlerdir.</w:t>
      </w:r>
    </w:p>
    <w:p w:rsidR="00591474" w:rsidRDefault="00591474" w:rsidP="00591474">
      <w:pPr>
        <w:jc w:val="both"/>
        <w:rPr>
          <w:rFonts w:asciiTheme="majorHAnsi" w:hAnsiTheme="majorHAnsi" w:cstheme="minorHAnsi"/>
          <w:b/>
          <w:sz w:val="26"/>
          <w:szCs w:val="26"/>
        </w:rPr>
      </w:pPr>
      <w:r>
        <w:rPr>
          <w:rFonts w:asciiTheme="majorHAnsi" w:hAnsiTheme="majorHAnsi" w:cstheme="minorHAnsi"/>
          <w:b/>
          <w:sz w:val="26"/>
          <w:szCs w:val="26"/>
        </w:rPr>
        <w:t>MAHKEME İÇTİHATLARI</w:t>
      </w:r>
    </w:p>
    <w:p w:rsidR="00591474" w:rsidRPr="00813301" w:rsidRDefault="00591474" w:rsidP="00591474">
      <w:pPr>
        <w:ind w:firstLine="708"/>
        <w:jc w:val="both"/>
        <w:rPr>
          <w:rFonts w:cstheme="minorHAnsi"/>
          <w:sz w:val="24"/>
          <w:szCs w:val="24"/>
        </w:rPr>
      </w:pPr>
      <w:r>
        <w:rPr>
          <w:rFonts w:cstheme="minorHAnsi"/>
          <w:sz w:val="24"/>
          <w:szCs w:val="24"/>
        </w:rPr>
        <w:t>Mahkemelerin vermiş olduğu kararlardan çıkan prensiplerdir. Hâkim içtihatlara uymak zorunda değildir. Fakat resim gazete de yayınlanan içtihadı birleştirme kararlarına uymak zorundadır.</w:t>
      </w:r>
    </w:p>
    <w:p w:rsidR="00591474" w:rsidRDefault="00591474" w:rsidP="00591474">
      <w:pPr>
        <w:jc w:val="both"/>
        <w:rPr>
          <w:rFonts w:asciiTheme="majorHAnsi" w:hAnsiTheme="majorHAnsi" w:cstheme="minorHAnsi"/>
          <w:b/>
          <w:sz w:val="26"/>
          <w:szCs w:val="26"/>
        </w:rPr>
      </w:pPr>
    </w:p>
    <w:p w:rsidR="00591474" w:rsidRDefault="00591474" w:rsidP="00591474">
      <w:pPr>
        <w:jc w:val="both"/>
        <w:rPr>
          <w:rFonts w:asciiTheme="majorHAnsi" w:hAnsiTheme="majorHAnsi" w:cstheme="minorHAnsi"/>
          <w:b/>
          <w:sz w:val="26"/>
          <w:szCs w:val="26"/>
        </w:rPr>
      </w:pPr>
      <w:r>
        <w:rPr>
          <w:rFonts w:asciiTheme="majorHAnsi" w:hAnsiTheme="majorHAnsi" w:cstheme="minorHAnsi"/>
          <w:b/>
          <w:sz w:val="26"/>
          <w:szCs w:val="26"/>
        </w:rPr>
        <w:t>DÜRÜSTLÜK İLKESİ</w:t>
      </w:r>
    </w:p>
    <w:p w:rsidR="00591474" w:rsidRDefault="00591474" w:rsidP="00591474">
      <w:pPr>
        <w:ind w:firstLine="708"/>
        <w:jc w:val="both"/>
        <w:rPr>
          <w:rFonts w:cstheme="minorHAnsi"/>
          <w:sz w:val="24"/>
          <w:szCs w:val="24"/>
        </w:rPr>
      </w:pPr>
      <w:r>
        <w:rPr>
          <w:rFonts w:cstheme="minorHAnsi"/>
          <w:sz w:val="24"/>
          <w:szCs w:val="24"/>
        </w:rPr>
        <w:t xml:space="preserve">Herkes haklarını kullanırken ve borçlarını yerine getirirken dürüstlük kurallarına uymalıdır. Dürüstlük kuralları orta </w:t>
      </w:r>
      <w:proofErr w:type="gramStart"/>
      <w:r>
        <w:rPr>
          <w:rFonts w:cstheme="minorHAnsi"/>
          <w:sz w:val="24"/>
          <w:szCs w:val="24"/>
        </w:rPr>
        <w:t>zekalı</w:t>
      </w:r>
      <w:proofErr w:type="gramEnd"/>
      <w:r>
        <w:rPr>
          <w:rFonts w:cstheme="minorHAnsi"/>
          <w:sz w:val="24"/>
          <w:szCs w:val="24"/>
        </w:rPr>
        <w:t xml:space="preserve"> normal makul kişileri toplum içinde karşılıklı güvene ahlaka ve dürüstlüğe dayalı davranışları sonunda meydana gelen herkesçe benimsenen yazılı olmayan kurallar bütünüdür. Bu ilkenin temelinde ahde vefa yani söze sadık olma durumu vardır.</w:t>
      </w:r>
    </w:p>
    <w:p w:rsidR="00591474" w:rsidRDefault="00591474" w:rsidP="00591474">
      <w:pPr>
        <w:jc w:val="both"/>
        <w:rPr>
          <w:rFonts w:asciiTheme="majorHAnsi" w:hAnsiTheme="majorHAnsi" w:cstheme="minorHAnsi"/>
          <w:b/>
          <w:sz w:val="24"/>
          <w:szCs w:val="24"/>
        </w:rPr>
      </w:pPr>
      <w:r>
        <w:rPr>
          <w:rFonts w:cstheme="minorHAnsi"/>
          <w:sz w:val="24"/>
          <w:szCs w:val="24"/>
        </w:rPr>
        <w:tab/>
      </w:r>
      <w:r w:rsidRPr="006D7296">
        <w:rPr>
          <w:rFonts w:asciiTheme="majorHAnsi" w:hAnsiTheme="majorHAnsi" w:cstheme="minorHAnsi"/>
          <w:b/>
          <w:sz w:val="24"/>
          <w:szCs w:val="24"/>
        </w:rPr>
        <w:t>ŞU DURUMLARDA DÜRÜSTLÜK KURALI UYGULANIR</w:t>
      </w:r>
      <w:r>
        <w:rPr>
          <w:rFonts w:asciiTheme="majorHAnsi" w:hAnsiTheme="majorHAnsi" w:cstheme="minorHAnsi"/>
          <w:b/>
          <w:sz w:val="24"/>
          <w:szCs w:val="24"/>
        </w:rPr>
        <w:t>:</w:t>
      </w:r>
    </w:p>
    <w:p w:rsidR="00591474" w:rsidRPr="006D7296" w:rsidRDefault="00591474" w:rsidP="00591474">
      <w:pPr>
        <w:pStyle w:val="ListeParagraf"/>
        <w:numPr>
          <w:ilvl w:val="0"/>
          <w:numId w:val="1"/>
        </w:numPr>
        <w:jc w:val="both"/>
        <w:rPr>
          <w:rFonts w:asciiTheme="majorHAnsi" w:hAnsiTheme="majorHAnsi" w:cstheme="minorHAnsi"/>
          <w:b/>
          <w:sz w:val="24"/>
          <w:szCs w:val="24"/>
        </w:rPr>
      </w:pPr>
      <w:r w:rsidRPr="006D7296">
        <w:rPr>
          <w:rFonts w:cstheme="minorHAnsi"/>
          <w:sz w:val="24"/>
          <w:szCs w:val="24"/>
        </w:rPr>
        <w:t>Hukuki işlemlerin kuruluşunda</w:t>
      </w:r>
      <w:r>
        <w:rPr>
          <w:rFonts w:cstheme="minorHAnsi"/>
          <w:sz w:val="24"/>
          <w:szCs w:val="24"/>
        </w:rPr>
        <w:t>,</w:t>
      </w:r>
    </w:p>
    <w:p w:rsidR="00591474" w:rsidRPr="006D7296" w:rsidRDefault="00591474" w:rsidP="00591474">
      <w:pPr>
        <w:pStyle w:val="ListeParagraf"/>
        <w:numPr>
          <w:ilvl w:val="0"/>
          <w:numId w:val="1"/>
        </w:numPr>
        <w:jc w:val="both"/>
        <w:rPr>
          <w:rFonts w:asciiTheme="majorHAnsi" w:hAnsiTheme="majorHAnsi" w:cstheme="minorHAnsi"/>
          <w:b/>
          <w:sz w:val="24"/>
          <w:szCs w:val="24"/>
        </w:rPr>
      </w:pPr>
      <w:r w:rsidRPr="006D7296">
        <w:rPr>
          <w:rFonts w:cstheme="minorHAnsi"/>
          <w:sz w:val="24"/>
          <w:szCs w:val="24"/>
        </w:rPr>
        <w:t xml:space="preserve">Hukuki işlemlerin </w:t>
      </w:r>
      <w:r>
        <w:rPr>
          <w:rFonts w:cstheme="minorHAnsi"/>
          <w:sz w:val="24"/>
          <w:szCs w:val="24"/>
        </w:rPr>
        <w:t>yorumunda,</w:t>
      </w:r>
    </w:p>
    <w:p w:rsidR="00591474" w:rsidRPr="006D7296" w:rsidRDefault="00591474" w:rsidP="00591474">
      <w:pPr>
        <w:pStyle w:val="ListeParagraf"/>
        <w:numPr>
          <w:ilvl w:val="0"/>
          <w:numId w:val="1"/>
        </w:numPr>
        <w:jc w:val="both"/>
        <w:rPr>
          <w:rFonts w:asciiTheme="majorHAnsi" w:hAnsiTheme="majorHAnsi" w:cstheme="minorHAnsi"/>
          <w:b/>
          <w:sz w:val="24"/>
          <w:szCs w:val="24"/>
        </w:rPr>
      </w:pPr>
      <w:r w:rsidRPr="006D7296">
        <w:rPr>
          <w:rFonts w:cstheme="minorHAnsi"/>
          <w:sz w:val="24"/>
          <w:szCs w:val="24"/>
        </w:rPr>
        <w:t xml:space="preserve">Hukuki işlemlerin </w:t>
      </w:r>
      <w:r>
        <w:rPr>
          <w:rFonts w:cstheme="minorHAnsi"/>
          <w:sz w:val="24"/>
          <w:szCs w:val="24"/>
        </w:rPr>
        <w:t>tamamlanmasında,</w:t>
      </w:r>
    </w:p>
    <w:p w:rsidR="00591474" w:rsidRPr="006D7296" w:rsidRDefault="00591474" w:rsidP="00591474">
      <w:pPr>
        <w:pStyle w:val="ListeParagraf"/>
        <w:numPr>
          <w:ilvl w:val="0"/>
          <w:numId w:val="1"/>
        </w:numPr>
        <w:jc w:val="both"/>
        <w:rPr>
          <w:rFonts w:asciiTheme="majorHAnsi" w:hAnsiTheme="majorHAnsi" w:cstheme="minorHAnsi"/>
          <w:b/>
          <w:sz w:val="24"/>
          <w:szCs w:val="24"/>
        </w:rPr>
      </w:pPr>
      <w:r>
        <w:rPr>
          <w:rFonts w:cstheme="minorHAnsi"/>
          <w:sz w:val="24"/>
          <w:szCs w:val="24"/>
        </w:rPr>
        <w:t>Hukuki yükümlüklerin tahvilinde,</w:t>
      </w:r>
    </w:p>
    <w:p w:rsidR="00591474" w:rsidRPr="006D7296" w:rsidRDefault="00591474" w:rsidP="00591474">
      <w:pPr>
        <w:pStyle w:val="ListeParagraf"/>
        <w:numPr>
          <w:ilvl w:val="0"/>
          <w:numId w:val="1"/>
        </w:numPr>
        <w:jc w:val="both"/>
        <w:rPr>
          <w:rFonts w:asciiTheme="majorHAnsi" w:hAnsiTheme="majorHAnsi" w:cstheme="minorHAnsi"/>
          <w:b/>
          <w:sz w:val="24"/>
          <w:szCs w:val="24"/>
        </w:rPr>
      </w:pPr>
      <w:r>
        <w:rPr>
          <w:rFonts w:cstheme="minorHAnsi"/>
          <w:sz w:val="24"/>
          <w:szCs w:val="24"/>
        </w:rPr>
        <w:t>Sözleşmelerin değişen koşullara uygulanmasında,</w:t>
      </w:r>
    </w:p>
    <w:p w:rsidR="00591474" w:rsidRPr="006D7296" w:rsidRDefault="00591474" w:rsidP="00591474">
      <w:pPr>
        <w:pStyle w:val="ListeParagraf"/>
        <w:numPr>
          <w:ilvl w:val="0"/>
          <w:numId w:val="1"/>
        </w:numPr>
        <w:jc w:val="both"/>
        <w:rPr>
          <w:rFonts w:asciiTheme="majorHAnsi" w:hAnsiTheme="majorHAnsi" w:cstheme="minorHAnsi"/>
          <w:b/>
          <w:sz w:val="26"/>
          <w:szCs w:val="26"/>
        </w:rPr>
      </w:pPr>
      <w:r>
        <w:rPr>
          <w:rFonts w:cstheme="minorHAnsi"/>
          <w:sz w:val="26"/>
          <w:szCs w:val="26"/>
        </w:rPr>
        <w:t>Sözleşme öncesi görüşmelerde,</w:t>
      </w:r>
    </w:p>
    <w:p w:rsidR="00591474" w:rsidRPr="006D7296" w:rsidRDefault="00591474" w:rsidP="00591474">
      <w:pPr>
        <w:pStyle w:val="ListeParagraf"/>
        <w:numPr>
          <w:ilvl w:val="0"/>
          <w:numId w:val="1"/>
        </w:numPr>
        <w:jc w:val="both"/>
        <w:rPr>
          <w:rFonts w:asciiTheme="majorHAnsi" w:hAnsiTheme="majorHAnsi" w:cstheme="minorHAnsi"/>
          <w:b/>
          <w:sz w:val="26"/>
          <w:szCs w:val="26"/>
        </w:rPr>
      </w:pPr>
      <w:r>
        <w:rPr>
          <w:rFonts w:cstheme="minorHAnsi"/>
          <w:sz w:val="26"/>
          <w:szCs w:val="26"/>
        </w:rPr>
        <w:t>Kanunların yorumlanmasında,</w:t>
      </w:r>
    </w:p>
    <w:p w:rsidR="00591474" w:rsidRPr="00F2382B" w:rsidRDefault="00591474" w:rsidP="00591474">
      <w:pPr>
        <w:pStyle w:val="ListeParagraf"/>
        <w:numPr>
          <w:ilvl w:val="0"/>
          <w:numId w:val="1"/>
        </w:numPr>
        <w:jc w:val="both"/>
        <w:rPr>
          <w:rFonts w:asciiTheme="majorHAnsi" w:hAnsiTheme="majorHAnsi" w:cstheme="minorHAnsi"/>
          <w:b/>
          <w:sz w:val="26"/>
          <w:szCs w:val="26"/>
        </w:rPr>
      </w:pPr>
      <w:r>
        <w:rPr>
          <w:rFonts w:cstheme="minorHAnsi"/>
          <w:sz w:val="26"/>
          <w:szCs w:val="26"/>
        </w:rPr>
        <w:t>Borçların ifasında uygulanır.</w:t>
      </w:r>
    </w:p>
    <w:p w:rsidR="00591474" w:rsidRDefault="00591474" w:rsidP="00591474">
      <w:pPr>
        <w:jc w:val="both"/>
        <w:rPr>
          <w:rFonts w:asciiTheme="majorHAnsi" w:hAnsiTheme="majorHAnsi" w:cstheme="minorHAnsi"/>
          <w:b/>
          <w:sz w:val="26"/>
          <w:szCs w:val="26"/>
        </w:rPr>
      </w:pPr>
    </w:p>
    <w:p w:rsidR="00591474" w:rsidRDefault="00591474" w:rsidP="00591474">
      <w:pPr>
        <w:jc w:val="both"/>
        <w:rPr>
          <w:rFonts w:asciiTheme="majorHAnsi" w:hAnsiTheme="majorHAnsi" w:cstheme="minorHAnsi"/>
          <w:b/>
          <w:sz w:val="26"/>
          <w:szCs w:val="26"/>
        </w:rPr>
      </w:pPr>
      <w:r>
        <w:rPr>
          <w:rFonts w:asciiTheme="majorHAnsi" w:hAnsiTheme="majorHAnsi" w:cstheme="minorHAnsi"/>
          <w:b/>
          <w:sz w:val="26"/>
          <w:szCs w:val="26"/>
        </w:rPr>
        <w:t xml:space="preserve">İYİ NİYET </w:t>
      </w:r>
    </w:p>
    <w:p w:rsidR="00591474" w:rsidRDefault="00591474" w:rsidP="00591474">
      <w:pPr>
        <w:ind w:firstLine="708"/>
        <w:jc w:val="both"/>
        <w:rPr>
          <w:rFonts w:cstheme="minorHAnsi"/>
          <w:sz w:val="24"/>
          <w:szCs w:val="24"/>
        </w:rPr>
      </w:pPr>
      <w:r>
        <w:rPr>
          <w:rFonts w:cstheme="minorHAnsi"/>
          <w:sz w:val="24"/>
          <w:szCs w:val="24"/>
        </w:rPr>
        <w:t>Mazur görülebilir. Yanlış bilgi sahibi veya bilgisiz olan kişiler iyi niyet iddiasında bulabilir. Bu madde hakların kazanılmasında önem taşır. İyi niyetle kişilerin bu işleme ona bir hak kazandırabileceği gibi bu hakkı genişletebilir.</w:t>
      </w:r>
    </w:p>
    <w:p w:rsidR="00591474" w:rsidRPr="006F1CE3" w:rsidRDefault="00591474" w:rsidP="00591474">
      <w:pPr>
        <w:ind w:firstLine="708"/>
        <w:jc w:val="both"/>
        <w:rPr>
          <w:rFonts w:cstheme="minorHAnsi"/>
          <w:b/>
          <w:sz w:val="24"/>
          <w:szCs w:val="24"/>
        </w:rPr>
      </w:pPr>
      <w:r w:rsidRPr="00AA5A62">
        <w:rPr>
          <w:rFonts w:cstheme="minorHAnsi"/>
          <w:b/>
          <w:sz w:val="24"/>
          <w:szCs w:val="24"/>
        </w:rPr>
        <w:t xml:space="preserve">Örneğin: temsilcinin temsil yetkisi geri alınmışsa fakat geri alındığı 3.kişilere bildirilmediyse iyi niyetli 3.kişilerin bu kişiyle yaptığı işlemler geçerlidir. Evli olan birinin </w:t>
      </w:r>
      <w:r w:rsidRPr="00AA5A62">
        <w:rPr>
          <w:rFonts w:cstheme="minorHAnsi"/>
          <w:b/>
          <w:sz w:val="24"/>
          <w:szCs w:val="24"/>
        </w:rPr>
        <w:lastRenderedPageBreak/>
        <w:t>2.evlilik yapması halinde ikinci evlilik batıldır fakat bu arada ilk eş ölürse ikinci eş iyi niyetliyse ikinci evlilik geçerli olur.</w:t>
      </w:r>
    </w:p>
    <w:p w:rsidR="004268DD" w:rsidRDefault="004268DD"/>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05404A"/>
    <w:multiLevelType w:val="hybridMultilevel"/>
    <w:tmpl w:val="29A026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39"/>
    <w:rsid w:val="00156739"/>
    <w:rsid w:val="004268DD"/>
    <w:rsid w:val="00591474"/>
    <w:rsid w:val="008559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61037-390D-4275-81E8-C6ECAED2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7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1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3</cp:revision>
  <dcterms:created xsi:type="dcterms:W3CDTF">2017-12-27T22:28:00Z</dcterms:created>
  <dcterms:modified xsi:type="dcterms:W3CDTF">2017-12-27T22:28:00Z</dcterms:modified>
</cp:coreProperties>
</file>