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A8" w:rsidRDefault="00F83DA8" w:rsidP="00F83DA8">
      <w:pPr>
        <w:jc w:val="center"/>
        <w:rPr>
          <w:rFonts w:ascii="Comic Sans MS" w:hAnsi="Comic Sans MS"/>
          <w:b/>
          <w:sz w:val="30"/>
          <w:szCs w:val="30"/>
        </w:rPr>
      </w:pPr>
      <w:r>
        <w:rPr>
          <w:rFonts w:ascii="Comic Sans MS" w:hAnsi="Comic Sans MS"/>
          <w:b/>
          <w:sz w:val="30"/>
          <w:szCs w:val="30"/>
        </w:rPr>
        <w:t>TÜZEL KİŞİLER</w:t>
      </w:r>
    </w:p>
    <w:p w:rsidR="00F83DA8" w:rsidRDefault="00F83DA8" w:rsidP="00F83DA8">
      <w:pPr>
        <w:jc w:val="both"/>
        <w:rPr>
          <w:rFonts w:ascii="Comic Sans MS" w:hAnsi="Comic Sans MS"/>
          <w:sz w:val="24"/>
          <w:szCs w:val="24"/>
        </w:rPr>
      </w:pPr>
      <w:r>
        <w:rPr>
          <w:rFonts w:ascii="Comic Sans MS" w:hAnsi="Comic Sans MS"/>
          <w:sz w:val="24"/>
          <w:szCs w:val="24"/>
        </w:rPr>
        <w:t>Hükmü şahıs da denir. Hukuk düzeninde gerçek kişilerin yanında yer alan bir başka hak süjesidir. Tüzel kişiler kişi ve mal topluluğu şeklinde olabilir. Tüzel kişiler belirli ve sürekli amaç güden, bağımsız olan ve gayesini gerçekleştirmek için örgütlenen kişilerdir.  Tüzel kişiler organları vasıtasıyla iradelerini açıklarlar.</w:t>
      </w:r>
    </w:p>
    <w:p w:rsidR="00F83DA8" w:rsidRDefault="00F83DA8" w:rsidP="00F83DA8">
      <w:pPr>
        <w:jc w:val="both"/>
        <w:rPr>
          <w:rFonts w:ascii="Comic Sans MS" w:hAnsi="Comic Sans MS"/>
          <w:b/>
          <w:sz w:val="28"/>
          <w:szCs w:val="28"/>
        </w:rPr>
      </w:pPr>
    </w:p>
    <w:p w:rsidR="00F83DA8" w:rsidRPr="003D30C6" w:rsidRDefault="00F83DA8" w:rsidP="00F83DA8">
      <w:pPr>
        <w:jc w:val="both"/>
        <w:rPr>
          <w:rFonts w:ascii="Comic Sans MS" w:hAnsi="Comic Sans MS"/>
          <w:b/>
          <w:sz w:val="28"/>
          <w:szCs w:val="28"/>
        </w:rPr>
      </w:pPr>
      <w:r w:rsidRPr="00250FD1">
        <w:rPr>
          <w:rFonts w:ascii="Comic Sans MS" w:hAnsi="Comic Sans MS"/>
          <w:b/>
          <w:sz w:val="28"/>
          <w:szCs w:val="28"/>
        </w:rPr>
        <w:t>Tüzel Kişiliğin Kazanılmasına İlişkin Sistemler</w:t>
      </w:r>
    </w:p>
    <w:p w:rsidR="00F83DA8" w:rsidRDefault="00F83DA8" w:rsidP="00F83DA8">
      <w:pPr>
        <w:pStyle w:val="ListeParagraf"/>
        <w:numPr>
          <w:ilvl w:val="0"/>
          <w:numId w:val="1"/>
        </w:numPr>
        <w:rPr>
          <w:rFonts w:ascii="Comic Sans MS" w:hAnsi="Comic Sans MS"/>
          <w:b/>
          <w:sz w:val="26"/>
          <w:szCs w:val="26"/>
        </w:rPr>
      </w:pPr>
      <w:r w:rsidRPr="00250FD1">
        <w:rPr>
          <w:rFonts w:ascii="Comic Sans MS" w:hAnsi="Comic Sans MS"/>
          <w:b/>
          <w:sz w:val="26"/>
          <w:szCs w:val="26"/>
        </w:rPr>
        <w:t>İzin Sistemi</w:t>
      </w:r>
    </w:p>
    <w:p w:rsidR="00F83DA8" w:rsidRDefault="00F83DA8" w:rsidP="00F83DA8">
      <w:pPr>
        <w:ind w:firstLine="360"/>
        <w:rPr>
          <w:rFonts w:ascii="Comic Sans MS" w:hAnsi="Comic Sans MS"/>
          <w:sz w:val="24"/>
          <w:szCs w:val="24"/>
        </w:rPr>
      </w:pPr>
      <w:r>
        <w:rPr>
          <w:rFonts w:ascii="Comic Sans MS" w:hAnsi="Comic Sans MS"/>
          <w:sz w:val="24"/>
          <w:szCs w:val="24"/>
        </w:rPr>
        <w:t>Bu sisteme göre bir tüzel kişilik devletin yetkili kıldığı makamdan izin alır. Yabancı dernekler ve kamuya yararlı devletler izin sistemine tabidir.</w:t>
      </w:r>
    </w:p>
    <w:p w:rsidR="00F83DA8" w:rsidRDefault="00F83DA8" w:rsidP="00F83DA8">
      <w:pPr>
        <w:pStyle w:val="ListeParagraf"/>
        <w:numPr>
          <w:ilvl w:val="0"/>
          <w:numId w:val="1"/>
        </w:numPr>
        <w:jc w:val="both"/>
        <w:rPr>
          <w:rFonts w:ascii="Comic Sans MS" w:hAnsi="Comic Sans MS"/>
          <w:b/>
          <w:sz w:val="26"/>
          <w:szCs w:val="26"/>
        </w:rPr>
      </w:pPr>
      <w:r w:rsidRPr="003D53BA">
        <w:rPr>
          <w:rFonts w:ascii="Comic Sans MS" w:hAnsi="Comic Sans MS"/>
          <w:b/>
          <w:sz w:val="26"/>
          <w:szCs w:val="26"/>
        </w:rPr>
        <w:t>Bildirim Sistemi</w:t>
      </w:r>
    </w:p>
    <w:p w:rsidR="00F83DA8" w:rsidRDefault="00F83DA8" w:rsidP="00F83DA8">
      <w:pPr>
        <w:ind w:firstLine="360"/>
        <w:jc w:val="both"/>
        <w:rPr>
          <w:rFonts w:ascii="Comic Sans MS" w:hAnsi="Comic Sans MS"/>
          <w:sz w:val="24"/>
          <w:szCs w:val="24"/>
        </w:rPr>
      </w:pPr>
      <w:r w:rsidRPr="003D53BA">
        <w:rPr>
          <w:rFonts w:ascii="Comic Sans MS" w:hAnsi="Comic Sans MS"/>
          <w:sz w:val="24"/>
          <w:szCs w:val="24"/>
        </w:rPr>
        <w:t>Dernekle</w:t>
      </w:r>
      <w:r>
        <w:rPr>
          <w:rFonts w:ascii="Comic Sans MS" w:hAnsi="Comic Sans MS"/>
          <w:sz w:val="24"/>
          <w:szCs w:val="24"/>
        </w:rPr>
        <w:t>r bu sisteme tabidir. Dernekler hazırlayacağı bir tüzük ile gerekli belgelerini mahalli en büyük mülki amirine vermesi gerekir.</w:t>
      </w:r>
    </w:p>
    <w:p w:rsidR="00F83DA8" w:rsidRDefault="00F83DA8" w:rsidP="00F83DA8">
      <w:pPr>
        <w:pStyle w:val="ListeParagraf"/>
        <w:numPr>
          <w:ilvl w:val="0"/>
          <w:numId w:val="1"/>
        </w:numPr>
        <w:jc w:val="both"/>
        <w:rPr>
          <w:rFonts w:ascii="Comic Sans MS" w:hAnsi="Comic Sans MS"/>
          <w:b/>
          <w:sz w:val="26"/>
          <w:szCs w:val="26"/>
        </w:rPr>
      </w:pPr>
      <w:r>
        <w:rPr>
          <w:rFonts w:ascii="Comic Sans MS" w:hAnsi="Comic Sans MS"/>
          <w:b/>
          <w:sz w:val="26"/>
          <w:szCs w:val="26"/>
        </w:rPr>
        <w:t>Tescil Sistemi</w:t>
      </w:r>
    </w:p>
    <w:p w:rsidR="00F83DA8" w:rsidRDefault="00F83DA8" w:rsidP="00F83DA8">
      <w:pPr>
        <w:ind w:firstLine="360"/>
        <w:jc w:val="both"/>
        <w:rPr>
          <w:rFonts w:ascii="Comic Sans MS" w:hAnsi="Comic Sans MS"/>
          <w:sz w:val="24"/>
          <w:szCs w:val="24"/>
        </w:rPr>
      </w:pPr>
      <w:r>
        <w:rPr>
          <w:rFonts w:ascii="Comic Sans MS" w:hAnsi="Comic Sans MS"/>
          <w:sz w:val="24"/>
          <w:szCs w:val="24"/>
        </w:rPr>
        <w:t>Bu sisteme göre tüzel kişilik kazanabilecekler, ticaret şirketleri ve vakıflar bu sisteme tabidir.</w:t>
      </w:r>
    </w:p>
    <w:p w:rsidR="00F83DA8" w:rsidRDefault="00F83DA8" w:rsidP="00F83DA8">
      <w:pPr>
        <w:pStyle w:val="ListeParagraf"/>
        <w:numPr>
          <w:ilvl w:val="0"/>
          <w:numId w:val="1"/>
        </w:numPr>
        <w:jc w:val="both"/>
        <w:rPr>
          <w:rFonts w:ascii="Comic Sans MS" w:hAnsi="Comic Sans MS"/>
          <w:b/>
          <w:sz w:val="26"/>
          <w:szCs w:val="26"/>
        </w:rPr>
      </w:pPr>
      <w:r w:rsidRPr="001215CA">
        <w:rPr>
          <w:rFonts w:ascii="Comic Sans MS" w:hAnsi="Comic Sans MS"/>
          <w:b/>
          <w:sz w:val="26"/>
          <w:szCs w:val="26"/>
        </w:rPr>
        <w:t>Serbest Kuruluş Sistemi</w:t>
      </w:r>
    </w:p>
    <w:p w:rsidR="00F83DA8" w:rsidRPr="007707E7" w:rsidRDefault="00F83DA8" w:rsidP="00F83DA8">
      <w:pPr>
        <w:ind w:firstLine="360"/>
        <w:jc w:val="both"/>
        <w:rPr>
          <w:rFonts w:ascii="Comic Sans MS" w:hAnsi="Comic Sans MS"/>
          <w:b/>
          <w:sz w:val="26"/>
          <w:szCs w:val="26"/>
        </w:rPr>
      </w:pPr>
      <w:r w:rsidRPr="007707E7">
        <w:rPr>
          <w:rFonts w:ascii="Comic Sans MS" w:hAnsi="Comic Sans MS"/>
          <w:sz w:val="24"/>
          <w:szCs w:val="24"/>
        </w:rPr>
        <w:t>Kişi toplulukları tüzel kişi olma iradesine serbestçe açıkladığı anda süjesi olur.</w:t>
      </w:r>
    </w:p>
    <w:p w:rsidR="00F83DA8" w:rsidRDefault="00F83DA8" w:rsidP="00F83DA8">
      <w:pPr>
        <w:jc w:val="both"/>
        <w:rPr>
          <w:rFonts w:ascii="Comic Sans MS" w:hAnsi="Comic Sans MS"/>
          <w:sz w:val="24"/>
          <w:szCs w:val="24"/>
        </w:rPr>
      </w:pPr>
    </w:p>
    <w:p w:rsidR="00F83DA8" w:rsidRDefault="00F83DA8" w:rsidP="00F83DA8">
      <w:pPr>
        <w:jc w:val="both"/>
        <w:rPr>
          <w:rFonts w:ascii="Comic Sans MS" w:hAnsi="Comic Sans MS"/>
          <w:b/>
          <w:sz w:val="28"/>
          <w:szCs w:val="28"/>
        </w:rPr>
      </w:pPr>
      <w:r>
        <w:rPr>
          <w:rFonts w:ascii="Comic Sans MS" w:hAnsi="Comic Sans MS"/>
          <w:b/>
          <w:sz w:val="28"/>
          <w:szCs w:val="28"/>
        </w:rPr>
        <w:t>TÜZEL KİŞİLİĞİN SONA ERMESİ</w:t>
      </w:r>
    </w:p>
    <w:p w:rsidR="00F83DA8" w:rsidRDefault="00F83DA8" w:rsidP="00F83DA8">
      <w:pPr>
        <w:jc w:val="both"/>
        <w:rPr>
          <w:rFonts w:ascii="Comic Sans MS" w:hAnsi="Comic Sans MS"/>
          <w:sz w:val="24"/>
          <w:szCs w:val="24"/>
        </w:rPr>
      </w:pPr>
      <w:r>
        <w:rPr>
          <w:rFonts w:ascii="Comic Sans MS" w:hAnsi="Comic Sans MS"/>
          <w:sz w:val="24"/>
          <w:szCs w:val="24"/>
        </w:rPr>
        <w:t xml:space="preserve">Tüzel kişiler kendiliğinden sona erebileceği gibi iradide sona erebilir. Sona eren bir tüzel kişilikte </w:t>
      </w:r>
      <w:r w:rsidRPr="003D30C6">
        <w:rPr>
          <w:rFonts w:ascii="Comic Sans MS" w:hAnsi="Comic Sans MS"/>
          <w:b/>
          <w:sz w:val="24"/>
          <w:szCs w:val="24"/>
        </w:rPr>
        <w:t>“tasfiye”</w:t>
      </w:r>
      <w:r>
        <w:rPr>
          <w:rFonts w:ascii="Comic Sans MS" w:hAnsi="Comic Sans MS"/>
          <w:sz w:val="24"/>
          <w:szCs w:val="24"/>
        </w:rPr>
        <w:t xml:space="preserve"> aşaması başlar. Bu aşamada tasfiye memurları atanır, mal varlığı paraya çevrilir, borçlar ödenir, alacaklar tahsil edilir. Tescil ile kurulanlar </w:t>
      </w:r>
      <w:r w:rsidRPr="003D30C6">
        <w:rPr>
          <w:rFonts w:ascii="Comic Sans MS" w:hAnsi="Comic Sans MS"/>
          <w:b/>
          <w:sz w:val="24"/>
          <w:szCs w:val="24"/>
        </w:rPr>
        <w:t>“terkin”</w:t>
      </w:r>
      <w:r>
        <w:rPr>
          <w:rFonts w:ascii="Comic Sans MS" w:hAnsi="Comic Sans MS"/>
          <w:sz w:val="24"/>
          <w:szCs w:val="24"/>
        </w:rPr>
        <w:t xml:space="preserve"> olunur.</w:t>
      </w:r>
    </w:p>
    <w:p w:rsidR="00F83DA8" w:rsidRDefault="00F83DA8" w:rsidP="00F83DA8">
      <w:pPr>
        <w:jc w:val="both"/>
        <w:rPr>
          <w:rFonts w:ascii="Comic Sans MS" w:hAnsi="Comic Sans MS"/>
          <w:b/>
          <w:sz w:val="28"/>
          <w:szCs w:val="28"/>
        </w:rPr>
      </w:pPr>
      <w:r>
        <w:rPr>
          <w:rFonts w:ascii="Comic Sans MS" w:hAnsi="Comic Sans MS"/>
          <w:b/>
          <w:sz w:val="28"/>
          <w:szCs w:val="28"/>
        </w:rPr>
        <w:t>HAK VE FİİL EHLİYETİ</w:t>
      </w:r>
    </w:p>
    <w:p w:rsidR="00F83DA8" w:rsidRPr="009C77C3" w:rsidRDefault="00F83DA8" w:rsidP="00F83DA8">
      <w:pPr>
        <w:jc w:val="both"/>
        <w:rPr>
          <w:rFonts w:ascii="Comic Sans MS" w:hAnsi="Comic Sans MS"/>
          <w:b/>
          <w:sz w:val="24"/>
          <w:szCs w:val="24"/>
        </w:rPr>
      </w:pPr>
      <w:r>
        <w:rPr>
          <w:rFonts w:ascii="Comic Sans MS" w:hAnsi="Comic Sans MS"/>
          <w:sz w:val="24"/>
          <w:szCs w:val="24"/>
        </w:rPr>
        <w:lastRenderedPageBreak/>
        <w:t xml:space="preserve">Hak ehliyeti medeni haklardan yararlanma, hak ve borçlara sahip olabilme ehliyetidir. Buna göre tüzel kişiler mal varlığı edinebilir, ad kullanabilir, davalarda taraf olabilir. Tüzel kişilerin yerleşim yeri vardır. Fiil ehliyeti ise, medeni hakları kullanabilme ehliyetidir. Zorunlu organlar oluşturulduğunda tüzel kişilik fiil ehliyetini kazanır. </w:t>
      </w:r>
      <w:r w:rsidRPr="00C111AA">
        <w:rPr>
          <w:rFonts w:ascii="Comic Sans MS" w:hAnsi="Comic Sans MS"/>
          <w:b/>
          <w:sz w:val="24"/>
          <w:szCs w:val="24"/>
        </w:rPr>
        <w:t>Derneklerde zorunlu organlar; genel kurul, yönetim kurulu ve denetleme kurumudur. Vakıflarda ise zorunlu organ, yönetim organıdır.</w:t>
      </w: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7445"/>
    <w:multiLevelType w:val="hybridMultilevel"/>
    <w:tmpl w:val="6A98E8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F9"/>
    <w:rsid w:val="004268DD"/>
    <w:rsid w:val="00EE30F9"/>
    <w:rsid w:val="00F83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85EEA-D032-40F3-92FD-F8A49586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A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3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2017-12-27T22:35:00Z</dcterms:created>
  <dcterms:modified xsi:type="dcterms:W3CDTF">2017-12-27T22:35:00Z</dcterms:modified>
</cp:coreProperties>
</file>