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A7A" w:rsidRPr="0073321D" w:rsidRDefault="00734A7A" w:rsidP="00734A7A">
      <w:pPr>
        <w:spacing w:after="0" w:line="240" w:lineRule="auto"/>
        <w:jc w:val="center"/>
        <w:rPr>
          <w:b/>
          <w:sz w:val="40"/>
          <w:szCs w:val="40"/>
        </w:rPr>
      </w:pPr>
      <w:r w:rsidRPr="0073321D">
        <w:rPr>
          <w:b/>
          <w:sz w:val="40"/>
          <w:szCs w:val="40"/>
        </w:rPr>
        <w:t>TEBLİGAT HUKUKU</w:t>
      </w:r>
    </w:p>
    <w:p w:rsidR="00734A7A" w:rsidRDefault="00734A7A" w:rsidP="00734A7A">
      <w:pPr>
        <w:spacing w:after="0" w:line="240" w:lineRule="auto"/>
        <w:jc w:val="both"/>
      </w:pPr>
    </w:p>
    <w:p w:rsidR="00734A7A" w:rsidRDefault="00734A7A" w:rsidP="00734A7A">
      <w:pPr>
        <w:spacing w:after="0" w:line="240" w:lineRule="auto"/>
        <w:ind w:firstLine="708"/>
        <w:jc w:val="both"/>
      </w:pPr>
      <w:r>
        <w:t>Tebligat, hukuki işlemlerin yetkili kurum tarafından muhatabına bildirmesidir. Tebligatın en önemli unsurları tarafları bilgilendirme, durumu belgelendirme ve evrakı teslimdir.</w:t>
      </w:r>
    </w:p>
    <w:p w:rsidR="00734A7A" w:rsidRDefault="00734A7A" w:rsidP="00734A7A">
      <w:pPr>
        <w:spacing w:after="0" w:line="240" w:lineRule="auto"/>
        <w:jc w:val="both"/>
      </w:pPr>
      <w:r>
        <w:t>Tebligat hukukunda yer alan önemli kavramlar şunlardır;</w:t>
      </w:r>
    </w:p>
    <w:p w:rsidR="00734A7A" w:rsidRDefault="00734A7A" w:rsidP="00734A7A">
      <w:pPr>
        <w:spacing w:after="0" w:line="240" w:lineRule="auto"/>
        <w:jc w:val="both"/>
      </w:pPr>
    </w:p>
    <w:p w:rsidR="00734A7A" w:rsidRPr="0073321D" w:rsidRDefault="00734A7A" w:rsidP="00734A7A">
      <w:pPr>
        <w:spacing w:after="0" w:line="240" w:lineRule="auto"/>
        <w:jc w:val="both"/>
        <w:rPr>
          <w:b/>
        </w:rPr>
      </w:pPr>
      <w:r w:rsidRPr="0073321D">
        <w:rPr>
          <w:b/>
        </w:rPr>
        <w:t>1.</w:t>
      </w:r>
      <w:r>
        <w:rPr>
          <w:b/>
        </w:rPr>
        <w:t>Asıl</w:t>
      </w:r>
    </w:p>
    <w:p w:rsidR="00734A7A" w:rsidRDefault="00734A7A" w:rsidP="00734A7A">
      <w:pPr>
        <w:spacing w:after="0" w:line="240" w:lineRule="auto"/>
        <w:jc w:val="both"/>
      </w:pPr>
      <w:r>
        <w:t>Tebligatın yapılması gereken temsilci dışındaki kişidir.</w:t>
      </w:r>
    </w:p>
    <w:p w:rsidR="00734A7A" w:rsidRDefault="00734A7A" w:rsidP="00734A7A">
      <w:pPr>
        <w:spacing w:after="0" w:line="240" w:lineRule="auto"/>
        <w:jc w:val="both"/>
      </w:pPr>
      <w:r>
        <w:t>Örneğin; borçlu davalı gibi</w:t>
      </w:r>
    </w:p>
    <w:p w:rsidR="00734A7A" w:rsidRDefault="00734A7A" w:rsidP="00734A7A">
      <w:pPr>
        <w:spacing w:after="0" w:line="240" w:lineRule="auto"/>
        <w:jc w:val="both"/>
      </w:pPr>
    </w:p>
    <w:p w:rsidR="00734A7A" w:rsidRPr="0073321D" w:rsidRDefault="00734A7A" w:rsidP="00734A7A">
      <w:pPr>
        <w:spacing w:after="0" w:line="240" w:lineRule="auto"/>
        <w:jc w:val="both"/>
        <w:rPr>
          <w:b/>
        </w:rPr>
      </w:pPr>
      <w:r w:rsidRPr="0073321D">
        <w:rPr>
          <w:b/>
        </w:rPr>
        <w:t xml:space="preserve">2.Muhattap </w:t>
      </w:r>
    </w:p>
    <w:p w:rsidR="00734A7A" w:rsidRDefault="00734A7A" w:rsidP="00734A7A">
      <w:pPr>
        <w:spacing w:after="0" w:line="240" w:lineRule="auto"/>
        <w:jc w:val="both"/>
      </w:pPr>
      <w:r>
        <w:t>Tebligat yapılan kişidir. Temsilcide muhatap olabilir. Kişinin temsilcisi yoksa sıfatı hem asıl hem de muhataptır. Temsilcisi varsa temsilcisine tebligat yapılacağı için temsilci muhataptır. Kendisi asıldır.</w:t>
      </w:r>
    </w:p>
    <w:p w:rsidR="00734A7A" w:rsidRDefault="00734A7A" w:rsidP="00734A7A">
      <w:pPr>
        <w:spacing w:after="0" w:line="240" w:lineRule="auto"/>
        <w:jc w:val="both"/>
      </w:pPr>
    </w:p>
    <w:p w:rsidR="00734A7A" w:rsidRPr="0073321D" w:rsidRDefault="00734A7A" w:rsidP="00734A7A">
      <w:pPr>
        <w:spacing w:after="0" w:line="240" w:lineRule="auto"/>
        <w:jc w:val="both"/>
        <w:rPr>
          <w:b/>
        </w:rPr>
      </w:pPr>
      <w:r w:rsidRPr="0073321D">
        <w:rPr>
          <w:b/>
        </w:rPr>
        <w:t>3.Adres</w:t>
      </w:r>
    </w:p>
    <w:p w:rsidR="00734A7A" w:rsidRDefault="00734A7A" w:rsidP="00734A7A">
      <w:pPr>
        <w:spacing w:after="0" w:line="240" w:lineRule="auto"/>
        <w:jc w:val="both"/>
      </w:pPr>
      <w:r>
        <w:t>Adresten anlaşılması gereken bilinen veya gösterilen adres, adres kayıt sistemindeki adres, oturulan yer elektronik adres tebligat kişinin bilinen veya gösterilen adresine yapılır. Gerçek kişilerin sadece bir tane yerleşim yeri vardır. Birden çok evinin olması bile bu gerçeği değiştirmez, tüzel kişilerin ise birden çok yerleşim yeri olacaktır.</w:t>
      </w:r>
    </w:p>
    <w:p w:rsidR="00734A7A" w:rsidRDefault="00734A7A" w:rsidP="00734A7A">
      <w:pPr>
        <w:spacing w:after="0" w:line="240" w:lineRule="auto"/>
        <w:jc w:val="both"/>
      </w:pPr>
      <w:r w:rsidRPr="0073321D">
        <w:rPr>
          <w:b/>
        </w:rPr>
        <w:t>NOT:</w:t>
      </w:r>
      <w:r w:rsidR="00616927">
        <w:t xml:space="preserve"> T</w:t>
      </w:r>
      <w:bookmarkStart w:id="0" w:name="_GoBack"/>
      <w:bookmarkEnd w:id="0"/>
      <w:r>
        <w:t>ebligat kişinin bilinen son adresine yapılır. Bu adrese yapılamıyorsa adres kayıt sisteminde gösterilen adres en son adres kabul edilir. Adres kayıt sistemindeki bir adresi görülmüyorsa</w:t>
      </w:r>
      <w:r w:rsidR="00616927">
        <w:t xml:space="preserve"> </w:t>
      </w:r>
      <w:r>
        <w:t>da son çare ilan yoluyla tebligattır.</w:t>
      </w:r>
    </w:p>
    <w:p w:rsidR="00734A7A" w:rsidRDefault="00734A7A" w:rsidP="00734A7A">
      <w:pPr>
        <w:spacing w:after="0" w:line="240" w:lineRule="auto"/>
        <w:jc w:val="both"/>
      </w:pPr>
    </w:p>
    <w:p w:rsidR="00734A7A" w:rsidRPr="0073321D" w:rsidRDefault="00734A7A" w:rsidP="00734A7A">
      <w:pPr>
        <w:spacing w:after="0" w:line="240" w:lineRule="auto"/>
        <w:jc w:val="both"/>
        <w:rPr>
          <w:b/>
        </w:rPr>
      </w:pPr>
      <w:r w:rsidRPr="0073321D">
        <w:rPr>
          <w:b/>
        </w:rPr>
        <w:t>4.Kişi</w:t>
      </w:r>
    </w:p>
    <w:p w:rsidR="00734A7A" w:rsidRDefault="00734A7A" w:rsidP="00734A7A">
      <w:pPr>
        <w:spacing w:after="0" w:line="240" w:lineRule="auto"/>
        <w:jc w:val="both"/>
      </w:pPr>
      <w:r>
        <w:t>Tebligat hukukuna göre tebligat yapılacak yetkili kişi.</w:t>
      </w:r>
    </w:p>
    <w:p w:rsidR="00734A7A" w:rsidRDefault="00734A7A" w:rsidP="00734A7A">
      <w:pPr>
        <w:spacing w:after="0" w:line="240" w:lineRule="auto"/>
        <w:jc w:val="both"/>
      </w:pPr>
    </w:p>
    <w:p w:rsidR="00734A7A" w:rsidRPr="0073321D" w:rsidRDefault="00734A7A" w:rsidP="00734A7A">
      <w:pPr>
        <w:spacing w:after="0" w:line="240" w:lineRule="auto"/>
        <w:jc w:val="both"/>
        <w:rPr>
          <w:b/>
        </w:rPr>
      </w:pPr>
      <w:r w:rsidRPr="0073321D">
        <w:rPr>
          <w:b/>
        </w:rPr>
        <w:t>5.Tüzel kişi</w:t>
      </w:r>
    </w:p>
    <w:p w:rsidR="00734A7A" w:rsidRDefault="00734A7A" w:rsidP="00734A7A">
      <w:pPr>
        <w:spacing w:after="0" w:line="240" w:lineRule="auto"/>
        <w:jc w:val="both"/>
      </w:pPr>
      <w:r>
        <w:t>Tebligat anlamında özel hukuk tüzel kişisi veya kamu tüzel kişileridir.</w:t>
      </w:r>
    </w:p>
    <w:p w:rsidR="00734A7A" w:rsidRPr="0073321D" w:rsidRDefault="00734A7A" w:rsidP="00734A7A">
      <w:pPr>
        <w:spacing w:after="0" w:line="240" w:lineRule="auto"/>
        <w:jc w:val="both"/>
        <w:rPr>
          <w:b/>
        </w:rPr>
      </w:pPr>
    </w:p>
    <w:p w:rsidR="00734A7A" w:rsidRPr="0073321D" w:rsidRDefault="00734A7A" w:rsidP="00734A7A">
      <w:pPr>
        <w:spacing w:after="0" w:line="240" w:lineRule="auto"/>
        <w:jc w:val="both"/>
        <w:rPr>
          <w:b/>
        </w:rPr>
      </w:pPr>
      <w:r w:rsidRPr="0073321D">
        <w:rPr>
          <w:b/>
        </w:rPr>
        <w:t>6.Kazai Merci</w:t>
      </w:r>
    </w:p>
    <w:p w:rsidR="00734A7A" w:rsidRDefault="00734A7A" w:rsidP="00734A7A">
      <w:pPr>
        <w:spacing w:after="0" w:line="240" w:lineRule="auto"/>
        <w:jc w:val="both"/>
      </w:pPr>
      <w:r>
        <w:t xml:space="preserve">Mahkemeler, savcılıklar ve icra daireleri </w:t>
      </w:r>
      <w:proofErr w:type="spellStart"/>
      <w:r>
        <w:t>kazai</w:t>
      </w:r>
      <w:proofErr w:type="spellEnd"/>
      <w:r>
        <w:t xml:space="preserve"> mercidir.</w:t>
      </w:r>
    </w:p>
    <w:p w:rsidR="00734A7A" w:rsidRDefault="00734A7A" w:rsidP="00734A7A">
      <w:pPr>
        <w:spacing w:after="0" w:line="240" w:lineRule="auto"/>
        <w:jc w:val="both"/>
      </w:pPr>
    </w:p>
    <w:p w:rsidR="00734A7A" w:rsidRPr="0073321D" w:rsidRDefault="00734A7A" w:rsidP="00734A7A">
      <w:pPr>
        <w:spacing w:after="0" w:line="240" w:lineRule="auto"/>
        <w:jc w:val="both"/>
        <w:rPr>
          <w:b/>
        </w:rPr>
      </w:pPr>
      <w:r w:rsidRPr="0073321D">
        <w:rPr>
          <w:b/>
        </w:rPr>
        <w:t>7.Kanuni Temsilci</w:t>
      </w:r>
    </w:p>
    <w:p w:rsidR="00734A7A" w:rsidRDefault="00734A7A" w:rsidP="00734A7A">
      <w:pPr>
        <w:spacing w:after="0" w:line="240" w:lineRule="auto"/>
        <w:jc w:val="both"/>
      </w:pPr>
      <w:r>
        <w:t>Kanundan kaynaklanan bir temsil türüdür. Veli, vasi, kayyım kanuni temsilcidir.</w:t>
      </w:r>
    </w:p>
    <w:p w:rsidR="00734A7A" w:rsidRDefault="00734A7A" w:rsidP="00734A7A">
      <w:pPr>
        <w:spacing w:after="0" w:line="240" w:lineRule="auto"/>
        <w:jc w:val="both"/>
      </w:pPr>
    </w:p>
    <w:p w:rsidR="00734A7A" w:rsidRPr="0073321D" w:rsidRDefault="00734A7A" w:rsidP="00734A7A">
      <w:pPr>
        <w:spacing w:after="0" w:line="240" w:lineRule="auto"/>
        <w:jc w:val="both"/>
        <w:rPr>
          <w:b/>
        </w:rPr>
      </w:pPr>
      <w:r w:rsidRPr="0073321D">
        <w:rPr>
          <w:b/>
        </w:rPr>
        <w:t>8.Vekil</w:t>
      </w:r>
    </w:p>
    <w:p w:rsidR="00734A7A" w:rsidRDefault="00734A7A" w:rsidP="00734A7A">
      <w:pPr>
        <w:spacing w:after="0" w:line="240" w:lineRule="auto"/>
        <w:jc w:val="both"/>
      </w:pPr>
      <w:r>
        <w:t>İradi temsil anlaşılır. Örneğin avukatlar, dava takipçileridir.</w:t>
      </w:r>
    </w:p>
    <w:p w:rsidR="00734A7A" w:rsidRDefault="00734A7A" w:rsidP="00734A7A">
      <w:pPr>
        <w:spacing w:after="0" w:line="240" w:lineRule="auto"/>
        <w:jc w:val="both"/>
      </w:pPr>
    </w:p>
    <w:p w:rsidR="00734A7A" w:rsidRPr="0073321D" w:rsidRDefault="00734A7A" w:rsidP="00734A7A">
      <w:pPr>
        <w:spacing w:after="0" w:line="240" w:lineRule="auto"/>
        <w:jc w:val="both"/>
        <w:rPr>
          <w:b/>
        </w:rPr>
      </w:pPr>
      <w:r w:rsidRPr="0073321D">
        <w:rPr>
          <w:b/>
        </w:rPr>
        <w:t>9.Kolluk Kuvvetleri</w:t>
      </w:r>
    </w:p>
    <w:p w:rsidR="00734A7A" w:rsidRDefault="00734A7A" w:rsidP="00734A7A">
      <w:pPr>
        <w:spacing w:after="0" w:line="240" w:lineRule="auto"/>
        <w:jc w:val="both"/>
      </w:pPr>
      <w:r>
        <w:t>Polis, jandarma, Zabıta, Sahil Güvenlik</w:t>
      </w:r>
    </w:p>
    <w:p w:rsidR="00734A7A" w:rsidRDefault="00734A7A" w:rsidP="00734A7A">
      <w:pPr>
        <w:spacing w:after="0" w:line="240" w:lineRule="auto"/>
        <w:jc w:val="both"/>
      </w:pPr>
    </w:p>
    <w:p w:rsidR="00734A7A" w:rsidRDefault="00734A7A" w:rsidP="00734A7A">
      <w:pPr>
        <w:spacing w:after="0" w:line="240" w:lineRule="auto"/>
        <w:jc w:val="both"/>
        <w:rPr>
          <w:b/>
          <w:sz w:val="26"/>
          <w:szCs w:val="26"/>
        </w:rPr>
      </w:pPr>
      <w:r w:rsidRPr="0073321D">
        <w:rPr>
          <w:b/>
          <w:sz w:val="26"/>
          <w:szCs w:val="26"/>
        </w:rPr>
        <w:t>TEBLİGATIN ÖNEMİ</w:t>
      </w:r>
    </w:p>
    <w:p w:rsidR="00734A7A" w:rsidRPr="0073321D" w:rsidRDefault="00734A7A" w:rsidP="00734A7A">
      <w:pPr>
        <w:spacing w:after="0" w:line="240" w:lineRule="auto"/>
        <w:jc w:val="both"/>
        <w:rPr>
          <w:b/>
          <w:sz w:val="26"/>
          <w:szCs w:val="26"/>
        </w:rPr>
      </w:pPr>
    </w:p>
    <w:p w:rsidR="00734A7A" w:rsidRDefault="00734A7A" w:rsidP="00734A7A">
      <w:pPr>
        <w:spacing w:after="0" w:line="240" w:lineRule="auto"/>
        <w:ind w:firstLine="708"/>
        <w:jc w:val="both"/>
      </w:pPr>
      <w:r>
        <w:t>Tebligat kişiye durumu bilgilendirdiği ve olayı belgelendirmesi nedeniyle hakların gerçekleştirilmesine katkı sağlar, kişilerin kendilerine yapılan tebligat ile aleyhine açılan davadan haberdar olur ve kendilerini savunma imkânı kazanır. Hukuki dinlenilme hakkı batımından ve savunma hakları bakımından önem arz eder. Zaman aşımı sürelerinin işlemeye başlaması için tebligatın yapılması gerekir.</w:t>
      </w:r>
    </w:p>
    <w:p w:rsidR="006B7ED7" w:rsidRDefault="006B7ED7"/>
    <w:sectPr w:rsidR="006B7E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194"/>
    <w:rsid w:val="00616927"/>
    <w:rsid w:val="00691194"/>
    <w:rsid w:val="006B7ED7"/>
    <w:rsid w:val="00734A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B344B-D7E2-4AC1-8125-2CD2E8DF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A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3</cp:revision>
  <dcterms:created xsi:type="dcterms:W3CDTF">2017-12-27T21:59:00Z</dcterms:created>
  <dcterms:modified xsi:type="dcterms:W3CDTF">2017-12-27T22:00:00Z</dcterms:modified>
</cp:coreProperties>
</file>