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605" w:rsidRDefault="00636605" w:rsidP="00636605">
      <w:pPr>
        <w:spacing w:after="0" w:line="240" w:lineRule="auto"/>
        <w:jc w:val="both"/>
        <w:rPr>
          <w:b/>
          <w:sz w:val="26"/>
          <w:szCs w:val="26"/>
        </w:rPr>
      </w:pPr>
      <w:r w:rsidRPr="0073321D">
        <w:rPr>
          <w:b/>
          <w:sz w:val="26"/>
          <w:szCs w:val="26"/>
        </w:rPr>
        <w:t>TEBLİGATIN HUKUKU</w:t>
      </w:r>
      <w:bookmarkStart w:id="0" w:name="_GoBack"/>
      <w:bookmarkEnd w:id="0"/>
      <w:r w:rsidRPr="0073321D">
        <w:rPr>
          <w:b/>
          <w:sz w:val="26"/>
          <w:szCs w:val="26"/>
        </w:rPr>
        <w:t xml:space="preserve"> MEVZUATI</w:t>
      </w:r>
    </w:p>
    <w:p w:rsidR="00636605" w:rsidRPr="002424A4" w:rsidRDefault="00636605" w:rsidP="00636605">
      <w:pPr>
        <w:spacing w:after="0" w:line="240" w:lineRule="auto"/>
        <w:ind w:firstLine="708"/>
        <w:jc w:val="both"/>
      </w:pPr>
      <w:r>
        <w:t>Tebligat hukukun en önemli kaynağı icra iflas kanunu, vergi usul kanunu, hukuk muhakemesi, kanunu gibi bazı kanunların ilgili hükümleri de bu alana hizmet eder. Bunlar yanında tebligat yönetmeliği, elektronik tebligat yönetmeliği pasta kanunu ve telgraf ve telefon kanunu da önem arz etmektedir. Şu anda posta hizmetleri kanunu yürüklüktedir. Yargı kararları ve Adalet bakanlığı/Yargıtay/HSK ve PTT Genel Müdürlüğü de çıkarttığı genelgelerde tebligat hukukuna hizmet eder. Ayrıca ceza muhakemeleri kanunu, Sosyal Güvenlik Kurumu kanunu, Danıştay kanununda öneli düzenlemelerdendir. Ayrıca avukatlık kanun ve uluslararası anlaşmalarda önemli kaynaklar arasındadır.</w:t>
      </w:r>
    </w:p>
    <w:p w:rsidR="00636605" w:rsidRDefault="00636605" w:rsidP="00636605">
      <w:pPr>
        <w:spacing w:after="0" w:line="240" w:lineRule="auto"/>
        <w:jc w:val="both"/>
      </w:pPr>
    </w:p>
    <w:p w:rsidR="00636605" w:rsidRDefault="00636605" w:rsidP="00636605">
      <w:pPr>
        <w:spacing w:after="0" w:line="240" w:lineRule="auto"/>
        <w:jc w:val="both"/>
        <w:rPr>
          <w:b/>
          <w:sz w:val="26"/>
          <w:szCs w:val="26"/>
        </w:rPr>
      </w:pPr>
      <w:r w:rsidRPr="0073321D">
        <w:rPr>
          <w:b/>
          <w:sz w:val="26"/>
          <w:szCs w:val="26"/>
        </w:rPr>
        <w:t>TEBLİGATIN HUKUKİ NİTELİĞİ</w:t>
      </w:r>
    </w:p>
    <w:p w:rsidR="00636605" w:rsidRDefault="00636605" w:rsidP="00636605">
      <w:pPr>
        <w:spacing w:after="0" w:line="240" w:lineRule="auto"/>
        <w:ind w:firstLine="708"/>
        <w:jc w:val="both"/>
      </w:pPr>
      <w:r>
        <w:t>Tebligat hukuk özel hukuk ve kamu hukukunun kesişim noktasında yer alır. Tebligatı hukuk şekli bir hukuk dalıdır. Tebligat türleri; yapılış şekli, tebligatın konusu, tebligatı çıkartan kurum ve kişilerin niteliği ve yapıldığı göre tasniflenebilir.</w:t>
      </w:r>
    </w:p>
    <w:p w:rsidR="00636605" w:rsidRDefault="00636605" w:rsidP="00636605">
      <w:pPr>
        <w:spacing w:after="0" w:line="240" w:lineRule="auto"/>
      </w:pPr>
    </w:p>
    <w:p w:rsidR="00636605" w:rsidRPr="0073321D" w:rsidRDefault="00636605" w:rsidP="00636605">
      <w:pPr>
        <w:spacing w:after="0" w:line="240" w:lineRule="auto"/>
        <w:jc w:val="center"/>
        <w:rPr>
          <w:b/>
          <w:sz w:val="36"/>
          <w:szCs w:val="36"/>
        </w:rPr>
      </w:pPr>
      <w:r w:rsidRPr="0073321D">
        <w:rPr>
          <w:b/>
          <w:sz w:val="36"/>
          <w:szCs w:val="36"/>
        </w:rPr>
        <w:t>TEBLİGAT TÜRLERİ</w:t>
      </w:r>
    </w:p>
    <w:p w:rsidR="00636605" w:rsidRDefault="00636605" w:rsidP="00636605">
      <w:pPr>
        <w:spacing w:after="0" w:line="240" w:lineRule="auto"/>
        <w:rPr>
          <w:sz w:val="32"/>
          <w:szCs w:val="32"/>
        </w:rPr>
      </w:pPr>
    </w:p>
    <w:p w:rsidR="00636605" w:rsidRPr="0073321D" w:rsidRDefault="00636605" w:rsidP="00636605">
      <w:pPr>
        <w:spacing w:after="0" w:line="240" w:lineRule="auto"/>
        <w:jc w:val="both"/>
        <w:rPr>
          <w:b/>
          <w:sz w:val="26"/>
          <w:szCs w:val="26"/>
        </w:rPr>
      </w:pPr>
      <w:r w:rsidRPr="0073321D">
        <w:rPr>
          <w:b/>
          <w:sz w:val="26"/>
          <w:szCs w:val="26"/>
        </w:rPr>
        <w:t>A)YAPILIŞ ŞEKLİNE GÖRE TEBLİGAT</w:t>
      </w:r>
    </w:p>
    <w:p w:rsidR="00636605" w:rsidRDefault="00636605" w:rsidP="00636605">
      <w:pPr>
        <w:spacing w:after="0" w:line="240" w:lineRule="auto"/>
        <w:jc w:val="both"/>
        <w:rPr>
          <w:b/>
        </w:rPr>
      </w:pPr>
    </w:p>
    <w:p w:rsidR="00636605" w:rsidRPr="0073321D" w:rsidRDefault="00636605" w:rsidP="00636605">
      <w:pPr>
        <w:spacing w:after="0" w:line="240" w:lineRule="auto"/>
        <w:jc w:val="both"/>
        <w:rPr>
          <w:b/>
        </w:rPr>
      </w:pPr>
      <w:r>
        <w:rPr>
          <w:b/>
        </w:rPr>
        <w:t>1)</w:t>
      </w:r>
      <w:r w:rsidRPr="0073321D">
        <w:rPr>
          <w:b/>
        </w:rPr>
        <w:t>PTT Yoluyla Tebligat</w:t>
      </w:r>
    </w:p>
    <w:p w:rsidR="00636605" w:rsidRDefault="00636605" w:rsidP="00636605">
      <w:pPr>
        <w:spacing w:after="0" w:line="240" w:lineRule="auto"/>
        <w:ind w:firstLine="708"/>
        <w:jc w:val="both"/>
      </w:pPr>
      <w:r>
        <w:t>Uygulamada en çok PTT yoluyla tebligatın yapılması söz konusudur. Fakat tebligat mevzuatı bu konuda PTT’ye üstünlük tanımamıştır.</w:t>
      </w:r>
    </w:p>
    <w:p w:rsidR="00636605" w:rsidRDefault="00636605" w:rsidP="00636605">
      <w:pPr>
        <w:spacing w:after="0" w:line="240" w:lineRule="auto"/>
        <w:jc w:val="both"/>
        <w:rPr>
          <w:b/>
        </w:rPr>
      </w:pPr>
    </w:p>
    <w:p w:rsidR="00636605" w:rsidRDefault="00636605" w:rsidP="00636605">
      <w:pPr>
        <w:spacing w:after="0" w:line="240" w:lineRule="auto"/>
        <w:jc w:val="both"/>
        <w:rPr>
          <w:b/>
        </w:rPr>
      </w:pPr>
      <w:r>
        <w:rPr>
          <w:b/>
        </w:rPr>
        <w:t>2)</w:t>
      </w:r>
      <w:r w:rsidRPr="00234D6E">
        <w:rPr>
          <w:b/>
        </w:rPr>
        <w:t>Memur Yoluyla Tebligat</w:t>
      </w:r>
    </w:p>
    <w:p w:rsidR="00636605" w:rsidRDefault="00636605" w:rsidP="00636605">
      <w:pPr>
        <w:spacing w:after="0" w:line="240" w:lineRule="auto"/>
        <w:ind w:firstLine="708"/>
        <w:jc w:val="both"/>
      </w:pPr>
      <w:r>
        <w:t>Kanunlarda özel hüküm bulunan durumlarda veya geçilmesinde zarar doğacak kişilerde veya aynı şehir, ilçe, köy gibi yerlerde mercilerin birbirlerine yapacağı tebligatlarda bu yöntemle yapılabilir. Memur vasıtasıyla neden tebligat yapıldığı tebligat evrakında gösterilir.</w:t>
      </w:r>
    </w:p>
    <w:p w:rsidR="00636605" w:rsidRDefault="00636605" w:rsidP="00636605">
      <w:pPr>
        <w:spacing w:after="0" w:line="240" w:lineRule="auto"/>
        <w:jc w:val="both"/>
      </w:pPr>
      <w:r>
        <w:t>Kolluk vasıtasıyla tebligatın yapılabilmesi için tebliğ çıkaran merciinin sebebini de belirtmek suretiyle mahalli, mülki idare amirine müracaat etmesi gerekir. Vergi usul kanuna göre maliye bakanlığı tebliğleri memur vasıtasıyla yapılabilir.</w:t>
      </w:r>
    </w:p>
    <w:p w:rsidR="00636605" w:rsidRDefault="00636605" w:rsidP="00636605">
      <w:pPr>
        <w:spacing w:after="0" w:line="240" w:lineRule="auto"/>
        <w:jc w:val="both"/>
        <w:rPr>
          <w:b/>
        </w:rPr>
      </w:pPr>
    </w:p>
    <w:p w:rsidR="00636605" w:rsidRDefault="00636605" w:rsidP="00636605">
      <w:pPr>
        <w:spacing w:after="0" w:line="240" w:lineRule="auto"/>
        <w:jc w:val="both"/>
        <w:rPr>
          <w:b/>
        </w:rPr>
      </w:pPr>
      <w:r>
        <w:rPr>
          <w:b/>
        </w:rPr>
        <w:t>3)</w:t>
      </w:r>
      <w:r w:rsidRPr="00C710AF">
        <w:rPr>
          <w:b/>
        </w:rPr>
        <w:t>Doğrudan Doğruya Tebligat</w:t>
      </w:r>
    </w:p>
    <w:p w:rsidR="00636605" w:rsidRDefault="00636605" w:rsidP="00636605">
      <w:pPr>
        <w:spacing w:after="0" w:line="240" w:lineRule="auto"/>
        <w:ind w:firstLine="708"/>
        <w:jc w:val="both"/>
      </w:pPr>
      <w:r>
        <w:t xml:space="preserve">Tebligatı çıkaran merci makam veya merci tarafından bir vasıtadan yararlanmaksızın yapılan tebligattır. Görülmekte olan bir davada duruşma arasında davaya ilişkin belgenin taraflara verilmesi tebliğidir. Duruşma sırasında gelecek duruşmanın gün ve saatinin avukat </w:t>
      </w:r>
      <w:proofErr w:type="gramStart"/>
      <w:r>
        <w:t>katip</w:t>
      </w:r>
      <w:proofErr w:type="gramEnd"/>
      <w:r>
        <w:t xml:space="preserve"> ve stajyerlere de bildirilmesi avukata tebliğ hükmündedir. Vekil ile takip edilen davalarda vekiller makbuz karşılığında birbirine tebligat yapabilirler.</w:t>
      </w:r>
    </w:p>
    <w:p w:rsidR="00636605" w:rsidRDefault="00636605" w:rsidP="00636605">
      <w:pPr>
        <w:spacing w:after="0" w:line="240" w:lineRule="auto"/>
        <w:jc w:val="both"/>
        <w:rPr>
          <w:b/>
        </w:rPr>
      </w:pPr>
    </w:p>
    <w:p w:rsidR="00636605" w:rsidRDefault="00636605" w:rsidP="00636605">
      <w:pPr>
        <w:spacing w:after="0" w:line="240" w:lineRule="auto"/>
        <w:jc w:val="both"/>
        <w:rPr>
          <w:b/>
        </w:rPr>
      </w:pPr>
      <w:r>
        <w:rPr>
          <w:b/>
        </w:rPr>
        <w:t>4)</w:t>
      </w:r>
      <w:r w:rsidRPr="00B3503F">
        <w:rPr>
          <w:b/>
        </w:rPr>
        <w:t>İlan Yoluyla Tebligat</w:t>
      </w:r>
    </w:p>
    <w:p w:rsidR="00636605" w:rsidRDefault="00636605" w:rsidP="00636605">
      <w:pPr>
        <w:spacing w:after="0" w:line="240" w:lineRule="auto"/>
        <w:ind w:firstLine="708"/>
        <w:jc w:val="both"/>
      </w:pPr>
      <w:r>
        <w:t xml:space="preserve">Tebligat yapılacak kişi biliniyorsa fakat adresi meçhulse tebliğ ücretleri ödenmiş ve tebligat ilan yoluyla yapılır. Burada ilan Basın İlan Kurumu tarafından yapılır. İlan tebligatı çıkaran merciinin bulunduğu yerde yayımlanan gazetede ve ayrıca Basın İlan Kurumu vasıtasıyla elektronik ortamda yapılır. Duruma göre iki defa ilan yapılabilir ilk ilan arasındaki süre 1 haftada aşağı olamaz. İlan yoluyla tebliğ son ilan tarihinden itibaren 7 gün sonra yapılmış sayılır </w:t>
      </w:r>
    </w:p>
    <w:p w:rsidR="00636605" w:rsidRDefault="00636605" w:rsidP="00636605">
      <w:pPr>
        <w:spacing w:after="0" w:line="240" w:lineRule="auto"/>
        <w:jc w:val="both"/>
      </w:pPr>
    </w:p>
    <w:p w:rsidR="00636605" w:rsidRDefault="00636605" w:rsidP="00636605">
      <w:pPr>
        <w:spacing w:after="0" w:line="240" w:lineRule="auto"/>
        <w:jc w:val="both"/>
        <w:rPr>
          <w:b/>
        </w:rPr>
      </w:pPr>
      <w:r>
        <w:rPr>
          <w:b/>
        </w:rPr>
        <w:t>5)</w:t>
      </w:r>
      <w:r w:rsidRPr="00FA0E38">
        <w:rPr>
          <w:b/>
        </w:rPr>
        <w:t>Elektronik Tebligat</w:t>
      </w:r>
    </w:p>
    <w:p w:rsidR="00636605" w:rsidRDefault="00636605" w:rsidP="00636605">
      <w:pPr>
        <w:spacing w:after="0" w:line="240" w:lineRule="auto"/>
        <w:ind w:firstLine="708"/>
        <w:jc w:val="both"/>
      </w:pPr>
      <w:r>
        <w:t xml:space="preserve">Kendisine ait özel bir yönetmeliği vardır. Buna göre anonim şirketlere, </w:t>
      </w:r>
      <w:proofErr w:type="spellStart"/>
      <w:r>
        <w:t>limited</w:t>
      </w:r>
      <w:proofErr w:type="spellEnd"/>
      <w:r>
        <w:t xml:space="preserve"> şirketlere ve paylı komandit şirketlere elektronik tebligata ilişkin hükümler zorunlu olarak getirilmiştir, fakat iradi olarak ta elektronik tebligat yapılabilir.</w:t>
      </w:r>
    </w:p>
    <w:p w:rsidR="00636605" w:rsidRDefault="00636605" w:rsidP="00636605">
      <w:pPr>
        <w:spacing w:after="0" w:line="240" w:lineRule="auto"/>
        <w:jc w:val="both"/>
      </w:pPr>
      <w:r>
        <w:t>Örneğin; TTK ’ya göre her iki taraf tacir ise sözleşmeden dönmek, sözleşmeyi fesih etmek, karşı tarafı temerrüde düşürmek telgrafı taahhütlü mektup ve güvenli elektronik imzalı postayla yapılabilir</w:t>
      </w:r>
    </w:p>
    <w:p w:rsidR="00636605" w:rsidRDefault="00636605" w:rsidP="00636605">
      <w:pPr>
        <w:spacing w:after="0" w:line="240" w:lineRule="auto"/>
        <w:jc w:val="both"/>
      </w:pPr>
      <w:r>
        <w:lastRenderedPageBreak/>
        <w:t>Elektronik tebligat muhatabın elektronik adresine ulaştığı tarihi izleyen 5 gün sonunda yapılmış sayılır.</w:t>
      </w:r>
    </w:p>
    <w:p w:rsidR="00636605" w:rsidRDefault="00636605" w:rsidP="00636605">
      <w:pPr>
        <w:spacing w:after="0" w:line="240" w:lineRule="auto"/>
        <w:jc w:val="both"/>
        <w:rPr>
          <w:b/>
          <w:sz w:val="26"/>
          <w:szCs w:val="26"/>
        </w:rPr>
      </w:pPr>
    </w:p>
    <w:p w:rsidR="006B7ED7" w:rsidRDefault="006B7ED7"/>
    <w:sectPr w:rsidR="006B7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63"/>
    <w:rsid w:val="003D7963"/>
    <w:rsid w:val="00636605"/>
    <w:rsid w:val="006B7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2CFC3-EC53-4017-89CE-AC57B422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6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2017-12-27T22:01:00Z</dcterms:created>
  <dcterms:modified xsi:type="dcterms:W3CDTF">2017-12-27T22:01:00Z</dcterms:modified>
</cp:coreProperties>
</file>