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B07" w:rsidRPr="002D096F" w:rsidRDefault="00911B07" w:rsidP="00911B07">
      <w:pPr>
        <w:rPr>
          <w:rFonts w:ascii="Comic Sans MS" w:hAnsi="Comic Sans MS" w:cstheme="minorHAnsi"/>
          <w:sz w:val="24"/>
          <w:szCs w:val="24"/>
        </w:rPr>
      </w:pPr>
    </w:p>
    <w:p w:rsidR="00911B07" w:rsidRPr="002D096F" w:rsidRDefault="00911B07" w:rsidP="00911B07">
      <w:pPr>
        <w:rPr>
          <w:rFonts w:ascii="Comic Sans MS" w:hAnsi="Comic Sans MS" w:cstheme="minorHAnsi"/>
          <w:b/>
          <w:sz w:val="28"/>
          <w:szCs w:val="28"/>
        </w:rPr>
      </w:pPr>
      <w:r w:rsidRPr="002D096F">
        <w:rPr>
          <w:rFonts w:ascii="Comic Sans MS" w:hAnsi="Comic Sans MS" w:cstheme="minorHAnsi"/>
          <w:b/>
          <w:sz w:val="28"/>
          <w:szCs w:val="28"/>
        </w:rPr>
        <w:t>TEBLİĞ İMKÂNSIZLIĞI VE TEBELLÜĞDEN KAÇINMA</w:t>
      </w:r>
    </w:p>
    <w:p w:rsidR="00911B07" w:rsidRPr="009D56C7" w:rsidRDefault="00911B07" w:rsidP="00911B07">
      <w:pPr>
        <w:ind w:firstLine="708"/>
        <w:rPr>
          <w:rFonts w:ascii="Comic Sans MS" w:hAnsi="Comic Sans MS" w:cstheme="minorHAnsi"/>
          <w:sz w:val="24"/>
          <w:szCs w:val="24"/>
        </w:rPr>
      </w:pPr>
      <w:r w:rsidRPr="002D096F">
        <w:rPr>
          <w:rFonts w:ascii="Comic Sans MS" w:hAnsi="Comic Sans MS" w:cstheme="minorHAnsi"/>
          <w:sz w:val="24"/>
          <w:szCs w:val="24"/>
        </w:rPr>
        <w:t xml:space="preserve">Tebliğ imkânsızlığı; asıl veya asıl adına tebligatı kabule kanunen yetkili muhataplardan hiçbiri adreste yoksa bu durum söz konusu olur. Gidilen adreste bir tadilat varsa ve orada kimse yoksa yine tebliğ </w:t>
      </w:r>
      <w:r>
        <w:rPr>
          <w:rFonts w:ascii="Comic Sans MS" w:hAnsi="Comic Sans MS" w:cstheme="minorHAnsi"/>
          <w:sz w:val="24"/>
          <w:szCs w:val="24"/>
        </w:rPr>
        <w:t>imkânsızlığı oluşur.</w:t>
      </w:r>
    </w:p>
    <w:p w:rsidR="00911B07" w:rsidRPr="002D096F" w:rsidRDefault="00911B07" w:rsidP="00911B07">
      <w:pPr>
        <w:rPr>
          <w:rFonts w:ascii="Comic Sans MS" w:hAnsi="Comic Sans MS" w:cstheme="minorHAnsi"/>
          <w:b/>
          <w:sz w:val="26"/>
          <w:szCs w:val="26"/>
        </w:rPr>
      </w:pPr>
    </w:p>
    <w:p w:rsidR="00911B07" w:rsidRPr="002D096F" w:rsidRDefault="00911B07" w:rsidP="00911B07">
      <w:pPr>
        <w:rPr>
          <w:rFonts w:ascii="Comic Sans MS" w:hAnsi="Comic Sans MS" w:cstheme="minorHAnsi"/>
          <w:b/>
          <w:sz w:val="26"/>
          <w:szCs w:val="26"/>
        </w:rPr>
      </w:pPr>
      <w:r w:rsidRPr="002D096F">
        <w:rPr>
          <w:rFonts w:ascii="Comic Sans MS" w:hAnsi="Comic Sans MS" w:cstheme="minorHAnsi"/>
          <w:b/>
          <w:sz w:val="26"/>
          <w:szCs w:val="26"/>
        </w:rPr>
        <w:t>TEBLİĞ İMKÂNSIZLIĞI HALİNDE YAPILACAK İŞLEMLER</w:t>
      </w:r>
    </w:p>
    <w:p w:rsidR="00911B07" w:rsidRPr="002D096F" w:rsidRDefault="00911B07" w:rsidP="00911B07">
      <w:pPr>
        <w:rPr>
          <w:rFonts w:ascii="Comic Sans MS" w:hAnsi="Comic Sans MS" w:cstheme="minorHAnsi"/>
          <w:b/>
          <w:sz w:val="26"/>
          <w:szCs w:val="26"/>
        </w:rPr>
      </w:pPr>
    </w:p>
    <w:p w:rsidR="00911B07" w:rsidRPr="002D096F" w:rsidRDefault="00911B07" w:rsidP="00911B07">
      <w:pPr>
        <w:numPr>
          <w:ilvl w:val="0"/>
          <w:numId w:val="1"/>
        </w:numPr>
        <w:contextualSpacing/>
        <w:rPr>
          <w:rFonts w:ascii="Comic Sans MS" w:hAnsi="Comic Sans MS" w:cstheme="minorHAnsi"/>
          <w:b/>
          <w:sz w:val="24"/>
          <w:szCs w:val="24"/>
        </w:rPr>
      </w:pPr>
      <w:r w:rsidRPr="002D096F">
        <w:rPr>
          <w:rFonts w:ascii="Comic Sans MS" w:hAnsi="Comic Sans MS" w:cstheme="minorHAnsi"/>
          <w:b/>
          <w:sz w:val="24"/>
          <w:szCs w:val="24"/>
        </w:rPr>
        <w:t>Tebliğ Yapılacak Asılın Adres Kayıt Sistemindeki Adresinin Olması Durumunda:</w:t>
      </w:r>
    </w:p>
    <w:p w:rsidR="00911B07" w:rsidRPr="002D096F" w:rsidRDefault="00911B07" w:rsidP="00911B07">
      <w:pPr>
        <w:ind w:left="720" w:firstLine="696"/>
        <w:contextualSpacing/>
        <w:jc w:val="both"/>
        <w:rPr>
          <w:rFonts w:ascii="Comic Sans MS" w:hAnsi="Comic Sans MS" w:cstheme="minorHAnsi"/>
          <w:sz w:val="24"/>
          <w:szCs w:val="24"/>
        </w:rPr>
      </w:pPr>
      <w:r w:rsidRPr="002D096F">
        <w:rPr>
          <w:rFonts w:ascii="Comic Sans MS" w:hAnsi="Comic Sans MS" w:cstheme="minorHAnsi"/>
          <w:sz w:val="24"/>
          <w:szCs w:val="24"/>
        </w:rPr>
        <w:t>Gösterilen adreste bu kişi hiç oturmamışsa veya sürekli ayrılmışsa evrak o yerin muhtarına veya ihtiyar heyeti üyelerinden birine, zabıta amir veya memurlarına imza karşılığında evrakı teslim eder. Evrakı alanın adresini içeren ihbarı adresin binasının kapısına yapıştırır. Yapıştırma tarihi tebliği tarihi sayılır. Durum komşu, kapıcı veya yöneticiye bildirilmez. Tebliğ memuru adres araştırması yapılmaz.</w:t>
      </w:r>
    </w:p>
    <w:p w:rsidR="00911B07" w:rsidRPr="002D096F" w:rsidRDefault="00911B07" w:rsidP="00911B07">
      <w:pPr>
        <w:ind w:left="720"/>
        <w:contextualSpacing/>
        <w:rPr>
          <w:rFonts w:ascii="Comic Sans MS" w:hAnsi="Comic Sans MS" w:cstheme="minorHAnsi"/>
          <w:sz w:val="24"/>
          <w:szCs w:val="24"/>
        </w:rPr>
      </w:pPr>
    </w:p>
    <w:p w:rsidR="00911B07" w:rsidRPr="002D096F" w:rsidRDefault="00911B07" w:rsidP="00911B07">
      <w:pPr>
        <w:numPr>
          <w:ilvl w:val="0"/>
          <w:numId w:val="1"/>
        </w:numPr>
        <w:contextualSpacing/>
        <w:rPr>
          <w:rFonts w:ascii="Comic Sans MS" w:hAnsi="Comic Sans MS" w:cstheme="minorHAnsi"/>
          <w:b/>
          <w:sz w:val="24"/>
          <w:szCs w:val="24"/>
        </w:rPr>
      </w:pPr>
      <w:r w:rsidRPr="002D096F">
        <w:rPr>
          <w:rFonts w:ascii="Comic Sans MS" w:hAnsi="Comic Sans MS" w:cstheme="minorHAnsi"/>
          <w:b/>
          <w:sz w:val="24"/>
          <w:szCs w:val="24"/>
        </w:rPr>
        <w:t>Adres Asılın Adres Kayıt Sistemindeki Adresi Değilse:</w:t>
      </w:r>
    </w:p>
    <w:p w:rsidR="00911B07" w:rsidRPr="002D096F" w:rsidRDefault="00911B07" w:rsidP="00911B07">
      <w:pPr>
        <w:ind w:left="720" w:firstLine="696"/>
        <w:contextualSpacing/>
        <w:jc w:val="both"/>
        <w:rPr>
          <w:rFonts w:ascii="Comic Sans MS" w:hAnsi="Comic Sans MS" w:cstheme="minorHAnsi"/>
          <w:sz w:val="24"/>
          <w:szCs w:val="24"/>
        </w:rPr>
      </w:pPr>
      <w:r w:rsidRPr="002D096F">
        <w:rPr>
          <w:rFonts w:ascii="Comic Sans MS" w:hAnsi="Comic Sans MS" w:cstheme="minorHAnsi"/>
          <w:sz w:val="24"/>
          <w:szCs w:val="24"/>
        </w:rPr>
        <w:t>Tebliğ memuru ilk önce adreste bulunmama nedenini araştırır. Tebliğ evrakını o yerin muhtarına veya ihtiyar heyeti üyelerinden birine veya zabıta amir veya memurlara imza karşılığı teslim eder. İhbarı bina kapısına yapıştırır. Durumu kapıcıya, yöneticiye ve komşuya bildirir.</w:t>
      </w:r>
    </w:p>
    <w:p w:rsidR="00911B07" w:rsidRPr="002D096F" w:rsidRDefault="00911B07" w:rsidP="00911B07">
      <w:pPr>
        <w:spacing w:after="0" w:line="240" w:lineRule="auto"/>
        <w:jc w:val="both"/>
        <w:rPr>
          <w:rFonts w:ascii="Comic Sans MS" w:hAnsi="Comic Sans MS" w:cstheme="minorHAnsi"/>
          <w:b/>
          <w:sz w:val="24"/>
          <w:szCs w:val="24"/>
        </w:rPr>
      </w:pPr>
      <w:r w:rsidRPr="002D096F">
        <w:rPr>
          <w:rFonts w:ascii="Comic Sans MS" w:hAnsi="Comic Sans MS" w:cstheme="minorHAnsi"/>
          <w:sz w:val="24"/>
          <w:szCs w:val="24"/>
        </w:rPr>
        <w:tab/>
      </w:r>
      <w:r w:rsidRPr="002D096F">
        <w:rPr>
          <w:rFonts w:ascii="Comic Sans MS" w:hAnsi="Comic Sans MS" w:cstheme="minorHAnsi"/>
          <w:b/>
          <w:sz w:val="24"/>
          <w:szCs w:val="24"/>
        </w:rPr>
        <w:t>Muhatabın Ölümü</w:t>
      </w:r>
    </w:p>
    <w:p w:rsidR="00911B07" w:rsidRPr="002D096F" w:rsidRDefault="00911B07" w:rsidP="00911B07">
      <w:pPr>
        <w:spacing w:after="0" w:line="240" w:lineRule="auto"/>
        <w:ind w:left="708" w:firstLine="708"/>
        <w:jc w:val="both"/>
        <w:rPr>
          <w:rFonts w:ascii="Comic Sans MS" w:hAnsi="Comic Sans MS" w:cstheme="minorHAnsi"/>
          <w:sz w:val="24"/>
          <w:szCs w:val="24"/>
        </w:rPr>
      </w:pPr>
      <w:r w:rsidRPr="002D096F">
        <w:rPr>
          <w:rFonts w:ascii="Comic Sans MS" w:hAnsi="Comic Sans MS" w:cstheme="minorHAnsi"/>
          <w:sz w:val="24"/>
          <w:szCs w:val="24"/>
        </w:rPr>
        <w:t>Muhatabın öldüğü komşu, yöneticiden ve kapıcı öğrenilirse bu durum tebliğ mazbatasında belirtilir. Evrak muhtar beyanına gerek olmadan evrakı çıkaran mercie iade edilir.</w:t>
      </w:r>
    </w:p>
    <w:p w:rsidR="00911B07" w:rsidRPr="002D096F" w:rsidRDefault="00911B07" w:rsidP="00911B07">
      <w:pPr>
        <w:spacing w:after="0" w:line="240" w:lineRule="auto"/>
        <w:ind w:left="708" w:firstLine="708"/>
        <w:jc w:val="both"/>
        <w:rPr>
          <w:rFonts w:ascii="Comic Sans MS" w:hAnsi="Comic Sans MS" w:cstheme="minorHAnsi"/>
          <w:sz w:val="24"/>
          <w:szCs w:val="24"/>
        </w:rPr>
      </w:pPr>
    </w:p>
    <w:p w:rsidR="00911B07" w:rsidRPr="002D096F" w:rsidRDefault="00911B07" w:rsidP="00911B07">
      <w:pPr>
        <w:spacing w:after="0" w:line="240" w:lineRule="auto"/>
        <w:ind w:left="708"/>
        <w:jc w:val="both"/>
        <w:rPr>
          <w:rFonts w:ascii="Comic Sans MS" w:hAnsi="Comic Sans MS" w:cstheme="minorHAnsi"/>
          <w:sz w:val="24"/>
          <w:szCs w:val="24"/>
        </w:rPr>
      </w:pPr>
      <w:r w:rsidRPr="002D096F">
        <w:rPr>
          <w:rFonts w:ascii="Comic Sans MS" w:hAnsi="Comic Sans MS" w:cstheme="minorHAnsi"/>
          <w:b/>
          <w:sz w:val="24"/>
          <w:szCs w:val="24"/>
        </w:rPr>
        <w:t>Muhatabın(Asılın) Adresten Sürekli Ayrılması Halinde Yapılacak İşlemler:</w:t>
      </w:r>
    </w:p>
    <w:p w:rsidR="00911B07" w:rsidRPr="002D096F" w:rsidRDefault="00911B07" w:rsidP="00911B07">
      <w:pPr>
        <w:spacing w:after="0" w:line="240" w:lineRule="auto"/>
        <w:ind w:left="708" w:firstLine="708"/>
        <w:jc w:val="both"/>
        <w:rPr>
          <w:rFonts w:ascii="Comic Sans MS" w:hAnsi="Comic Sans MS" w:cstheme="minorHAnsi"/>
          <w:sz w:val="24"/>
          <w:szCs w:val="24"/>
        </w:rPr>
      </w:pPr>
      <w:r w:rsidRPr="002D096F">
        <w:rPr>
          <w:rFonts w:ascii="Comic Sans MS" w:hAnsi="Comic Sans MS" w:cstheme="minorHAnsi"/>
          <w:sz w:val="24"/>
          <w:szCs w:val="24"/>
        </w:rPr>
        <w:t>Bu durumda tebliğ imkânsızlığı vardır. Durum tebliğ mazbatasına yazılır. Tebliğ memuru muhatabın yeni adresini tespit edemezse muhtar beyanı ile evrakı merci iade eder. Yeni adres tespit edilirse mazbatada belirtilir. Bu adrese tebligat yapıla bilecekse yapılır aksi halde evrak mercie iade edilir.</w:t>
      </w:r>
    </w:p>
    <w:p w:rsidR="00911B07" w:rsidRPr="002D096F" w:rsidRDefault="00911B07" w:rsidP="00911B07">
      <w:pPr>
        <w:spacing w:after="0" w:line="240" w:lineRule="auto"/>
        <w:ind w:left="720"/>
        <w:contextualSpacing/>
        <w:jc w:val="both"/>
        <w:rPr>
          <w:rFonts w:ascii="Comic Sans MS" w:hAnsi="Comic Sans MS" w:cstheme="minorHAnsi"/>
          <w:sz w:val="24"/>
          <w:szCs w:val="24"/>
        </w:rPr>
      </w:pPr>
    </w:p>
    <w:p w:rsidR="00911B07" w:rsidRPr="002D096F" w:rsidRDefault="00911B07" w:rsidP="00911B07">
      <w:pPr>
        <w:spacing w:after="0" w:line="240" w:lineRule="auto"/>
        <w:ind w:left="720"/>
        <w:contextualSpacing/>
        <w:jc w:val="both"/>
        <w:rPr>
          <w:rFonts w:ascii="Comic Sans MS" w:hAnsi="Comic Sans MS" w:cstheme="minorHAnsi"/>
          <w:b/>
          <w:sz w:val="24"/>
          <w:szCs w:val="24"/>
        </w:rPr>
      </w:pPr>
      <w:r w:rsidRPr="002D096F">
        <w:rPr>
          <w:rFonts w:ascii="Comic Sans MS" w:hAnsi="Comic Sans MS" w:cstheme="minorHAnsi"/>
          <w:b/>
          <w:sz w:val="24"/>
          <w:szCs w:val="24"/>
        </w:rPr>
        <w:t>Tebellüğden Kaçınma</w:t>
      </w:r>
    </w:p>
    <w:p w:rsidR="00911B07" w:rsidRPr="002D096F" w:rsidRDefault="00911B07" w:rsidP="00911B07">
      <w:pPr>
        <w:spacing w:after="0" w:line="240" w:lineRule="auto"/>
        <w:ind w:left="720" w:firstLine="696"/>
        <w:contextualSpacing/>
        <w:jc w:val="both"/>
        <w:rPr>
          <w:rFonts w:ascii="Comic Sans MS" w:hAnsi="Comic Sans MS" w:cstheme="minorHAnsi"/>
          <w:sz w:val="24"/>
          <w:szCs w:val="24"/>
        </w:rPr>
      </w:pPr>
      <w:r w:rsidRPr="002D096F">
        <w:rPr>
          <w:rFonts w:ascii="Comic Sans MS" w:hAnsi="Comic Sans MS" w:cstheme="minorHAnsi"/>
          <w:sz w:val="24"/>
          <w:szCs w:val="24"/>
        </w:rPr>
        <w:lastRenderedPageBreak/>
        <w:t>Evrak muhtara, ihtiyar heyeti üyelerinden birisine ya da kolluk memurlarına imza karşılığında teslim yapılır. Durum adresteki kapıya yapıştırılır. Bu durumun komşuya, kapıcıya, yöneticiye bildirmesine gerek yoktur.</w:t>
      </w:r>
    </w:p>
    <w:p w:rsidR="00911B07" w:rsidRPr="002D096F" w:rsidRDefault="00911B07" w:rsidP="00911B07">
      <w:pPr>
        <w:rPr>
          <w:rFonts w:ascii="Comic Sans MS" w:hAnsi="Comic Sans MS" w:cstheme="minorHAnsi"/>
          <w:sz w:val="24"/>
          <w:szCs w:val="24"/>
        </w:rPr>
      </w:pPr>
    </w:p>
    <w:p w:rsidR="00911B07" w:rsidRPr="002D096F" w:rsidRDefault="00911B07" w:rsidP="00911B07">
      <w:pPr>
        <w:rPr>
          <w:rFonts w:ascii="Comic Sans MS" w:hAnsi="Comic Sans MS" w:cstheme="minorHAnsi"/>
          <w:b/>
          <w:sz w:val="26"/>
          <w:szCs w:val="26"/>
        </w:rPr>
      </w:pPr>
    </w:p>
    <w:p w:rsidR="00911B07" w:rsidRPr="002D096F" w:rsidRDefault="00911B07" w:rsidP="00911B07">
      <w:pPr>
        <w:spacing w:after="0" w:line="240" w:lineRule="auto"/>
        <w:rPr>
          <w:rFonts w:ascii="Comic Sans MS" w:hAnsi="Comic Sans MS" w:cstheme="minorHAnsi"/>
          <w:b/>
          <w:sz w:val="26"/>
          <w:szCs w:val="26"/>
        </w:rPr>
      </w:pPr>
    </w:p>
    <w:p w:rsidR="00911B07" w:rsidRPr="002D096F" w:rsidRDefault="00911B07" w:rsidP="00911B07">
      <w:pPr>
        <w:spacing w:after="0" w:line="240" w:lineRule="auto"/>
        <w:rPr>
          <w:rFonts w:ascii="Comic Sans MS" w:hAnsi="Comic Sans MS" w:cstheme="minorHAnsi"/>
          <w:b/>
          <w:sz w:val="26"/>
          <w:szCs w:val="26"/>
        </w:rPr>
      </w:pPr>
      <w:r w:rsidRPr="002D096F">
        <w:rPr>
          <w:rFonts w:ascii="Comic Sans MS" w:hAnsi="Comic Sans MS" w:cstheme="minorHAnsi"/>
          <w:b/>
          <w:sz w:val="26"/>
          <w:szCs w:val="26"/>
        </w:rPr>
        <w:t>TEBLİĞ İMKÂNSIZLIĞI VEYA TEBELLÜDEN KAÇINMA DURUMUNDA YAPILACAK İŞLEMLER:</w:t>
      </w:r>
    </w:p>
    <w:p w:rsidR="00911B07" w:rsidRPr="002D096F" w:rsidRDefault="00911B07" w:rsidP="00911B07">
      <w:pPr>
        <w:spacing w:after="0" w:line="240" w:lineRule="auto"/>
        <w:rPr>
          <w:rFonts w:ascii="Comic Sans MS" w:hAnsi="Comic Sans MS" w:cstheme="minorHAnsi"/>
          <w:b/>
          <w:sz w:val="26"/>
          <w:szCs w:val="26"/>
        </w:rPr>
      </w:pPr>
    </w:p>
    <w:p w:rsidR="00911B07" w:rsidRPr="002D096F" w:rsidRDefault="00911B07" w:rsidP="00911B07">
      <w:pPr>
        <w:numPr>
          <w:ilvl w:val="0"/>
          <w:numId w:val="2"/>
        </w:numPr>
        <w:spacing w:after="0" w:line="240" w:lineRule="auto"/>
        <w:contextualSpacing/>
        <w:jc w:val="both"/>
        <w:rPr>
          <w:rFonts w:ascii="Comic Sans MS" w:hAnsi="Comic Sans MS" w:cstheme="minorHAnsi"/>
          <w:b/>
          <w:sz w:val="26"/>
          <w:szCs w:val="26"/>
        </w:rPr>
      </w:pPr>
      <w:r w:rsidRPr="002D096F">
        <w:rPr>
          <w:rFonts w:ascii="Comic Sans MS" w:hAnsi="Comic Sans MS" w:cstheme="minorHAnsi"/>
          <w:sz w:val="24"/>
          <w:szCs w:val="24"/>
        </w:rPr>
        <w:t>Tebliğ memuru adres araştırması yapmalıdır. Fakat bu araştırma adres kayıt sisteminde kayıtlı olmayan adresler için gereklidir.</w:t>
      </w:r>
    </w:p>
    <w:p w:rsidR="00911B07" w:rsidRPr="002D096F" w:rsidRDefault="00911B07" w:rsidP="00911B07">
      <w:pPr>
        <w:numPr>
          <w:ilvl w:val="0"/>
          <w:numId w:val="2"/>
        </w:numPr>
        <w:spacing w:after="0" w:line="240" w:lineRule="auto"/>
        <w:contextualSpacing/>
        <w:jc w:val="both"/>
        <w:rPr>
          <w:rFonts w:ascii="Comic Sans MS" w:hAnsi="Comic Sans MS" w:cstheme="minorHAnsi"/>
          <w:b/>
          <w:sz w:val="26"/>
          <w:szCs w:val="26"/>
        </w:rPr>
      </w:pPr>
      <w:r w:rsidRPr="002D096F">
        <w:rPr>
          <w:rFonts w:ascii="Comic Sans MS" w:hAnsi="Comic Sans MS" w:cstheme="minorHAnsi"/>
          <w:sz w:val="24"/>
          <w:szCs w:val="24"/>
        </w:rPr>
        <w:t>Tebliğ evrakı tebliğ görevlisinin takdiri ile muhtara, ihtiyar heyeti üyelerinden birine, zabıta amir ve memuruna bırakılır.</w:t>
      </w:r>
    </w:p>
    <w:p w:rsidR="00911B07" w:rsidRPr="002D096F" w:rsidRDefault="00911B07" w:rsidP="00911B07">
      <w:pPr>
        <w:numPr>
          <w:ilvl w:val="0"/>
          <w:numId w:val="2"/>
        </w:numPr>
        <w:spacing w:after="0" w:line="240" w:lineRule="auto"/>
        <w:contextualSpacing/>
        <w:jc w:val="both"/>
        <w:rPr>
          <w:rFonts w:ascii="Comic Sans MS" w:hAnsi="Comic Sans MS" w:cstheme="minorHAnsi"/>
          <w:b/>
          <w:sz w:val="26"/>
          <w:szCs w:val="26"/>
        </w:rPr>
      </w:pPr>
      <w:r w:rsidRPr="002D096F">
        <w:rPr>
          <w:rFonts w:ascii="Comic Sans MS" w:hAnsi="Comic Sans MS" w:cstheme="minorHAnsi"/>
          <w:sz w:val="24"/>
          <w:szCs w:val="24"/>
        </w:rPr>
        <w:t>İhbarname kapıya yapıştırılır.</w:t>
      </w:r>
    </w:p>
    <w:p w:rsidR="00911B07" w:rsidRPr="002D096F" w:rsidRDefault="00911B07" w:rsidP="00911B07">
      <w:pPr>
        <w:numPr>
          <w:ilvl w:val="0"/>
          <w:numId w:val="2"/>
        </w:numPr>
        <w:spacing w:after="0" w:line="240" w:lineRule="auto"/>
        <w:contextualSpacing/>
        <w:jc w:val="both"/>
        <w:rPr>
          <w:rFonts w:ascii="Comic Sans MS" w:hAnsi="Comic Sans MS" w:cstheme="minorHAnsi"/>
          <w:b/>
          <w:sz w:val="26"/>
          <w:szCs w:val="26"/>
        </w:rPr>
      </w:pPr>
      <w:r w:rsidRPr="002D096F">
        <w:rPr>
          <w:rFonts w:ascii="Comic Sans MS" w:hAnsi="Comic Sans MS" w:cstheme="minorHAnsi"/>
          <w:sz w:val="24"/>
          <w:szCs w:val="24"/>
        </w:rPr>
        <w:t>Durum bazı hallerde komşuya, yöneticiye veya kapıcıya bildirilir.</w:t>
      </w:r>
    </w:p>
    <w:p w:rsidR="00911B07" w:rsidRPr="002D096F" w:rsidRDefault="00911B07" w:rsidP="00911B07">
      <w:pPr>
        <w:spacing w:after="0" w:line="240" w:lineRule="auto"/>
        <w:jc w:val="both"/>
        <w:rPr>
          <w:rFonts w:ascii="Comic Sans MS" w:hAnsi="Comic Sans MS" w:cstheme="minorHAnsi"/>
          <w:b/>
          <w:sz w:val="26"/>
          <w:szCs w:val="26"/>
        </w:rPr>
      </w:pPr>
    </w:p>
    <w:p w:rsidR="00911B07" w:rsidRPr="002D096F" w:rsidRDefault="00911B07" w:rsidP="00911B07">
      <w:pPr>
        <w:spacing w:after="0" w:line="240" w:lineRule="auto"/>
        <w:jc w:val="both"/>
        <w:rPr>
          <w:rFonts w:ascii="Comic Sans MS" w:hAnsi="Comic Sans MS" w:cstheme="minorHAnsi"/>
          <w:b/>
          <w:sz w:val="26"/>
          <w:szCs w:val="26"/>
        </w:rPr>
      </w:pPr>
      <w:r w:rsidRPr="002D096F">
        <w:rPr>
          <w:rFonts w:ascii="Comic Sans MS" w:hAnsi="Comic Sans MS" w:cstheme="minorHAnsi"/>
          <w:b/>
          <w:sz w:val="26"/>
          <w:szCs w:val="26"/>
        </w:rPr>
        <w:t>TEBLİĞ TARİHİ</w:t>
      </w:r>
    </w:p>
    <w:p w:rsidR="00911B07" w:rsidRPr="002D096F" w:rsidRDefault="00911B07" w:rsidP="00911B07">
      <w:pPr>
        <w:spacing w:after="0" w:line="240" w:lineRule="auto"/>
        <w:ind w:firstLine="708"/>
        <w:jc w:val="both"/>
        <w:rPr>
          <w:rFonts w:ascii="Comic Sans MS" w:hAnsi="Comic Sans MS" w:cstheme="minorHAnsi"/>
          <w:b/>
          <w:sz w:val="26"/>
          <w:szCs w:val="26"/>
        </w:rPr>
      </w:pPr>
      <w:r w:rsidRPr="002D096F">
        <w:rPr>
          <w:rFonts w:ascii="Comic Sans MS" w:hAnsi="Comic Sans MS" w:cstheme="minorHAnsi"/>
          <w:sz w:val="24"/>
          <w:szCs w:val="24"/>
        </w:rPr>
        <w:t>Tebliğ imkânsızlığa, tebellüğden kaçınma durumlarında tebliğ tarihi ihbarnamenin kapıya yapıştırdığı tarihtir. Tebliğ evrakı teslim edilen kişiler bu evrakı 3 ay içinde saklamakla yükümlüdür.</w:t>
      </w:r>
    </w:p>
    <w:p w:rsidR="00911B07" w:rsidRPr="002D096F" w:rsidRDefault="00911B07" w:rsidP="00911B07">
      <w:pPr>
        <w:spacing w:after="0" w:line="240" w:lineRule="auto"/>
        <w:rPr>
          <w:rFonts w:ascii="Comic Sans MS" w:hAnsi="Comic Sans MS" w:cstheme="minorHAnsi"/>
          <w:sz w:val="24"/>
          <w:szCs w:val="24"/>
        </w:rPr>
      </w:pPr>
    </w:p>
    <w:p w:rsidR="00911B07" w:rsidRPr="002D096F" w:rsidRDefault="00911B07" w:rsidP="00911B07">
      <w:pPr>
        <w:spacing w:after="0" w:line="240" w:lineRule="auto"/>
        <w:rPr>
          <w:rFonts w:ascii="Comic Sans MS" w:hAnsi="Comic Sans MS" w:cstheme="minorHAnsi"/>
          <w:b/>
          <w:sz w:val="26"/>
          <w:szCs w:val="26"/>
        </w:rPr>
      </w:pPr>
      <w:r w:rsidRPr="002D096F">
        <w:rPr>
          <w:rFonts w:ascii="Comic Sans MS" w:hAnsi="Comic Sans MS" w:cstheme="minorHAnsi"/>
          <w:b/>
          <w:sz w:val="26"/>
          <w:szCs w:val="26"/>
        </w:rPr>
        <w:t>TEBLİGATIN YAPILACAĞI YER</w:t>
      </w:r>
    </w:p>
    <w:p w:rsidR="00911B07" w:rsidRPr="002D096F" w:rsidRDefault="00911B07" w:rsidP="00911B07">
      <w:pPr>
        <w:spacing w:after="0" w:line="240" w:lineRule="auto"/>
        <w:ind w:firstLine="284"/>
        <w:jc w:val="both"/>
        <w:rPr>
          <w:rFonts w:ascii="Comic Sans MS" w:hAnsi="Comic Sans MS" w:cstheme="minorHAnsi"/>
          <w:sz w:val="24"/>
          <w:szCs w:val="24"/>
        </w:rPr>
      </w:pPr>
      <w:r w:rsidRPr="002D096F">
        <w:rPr>
          <w:rFonts w:ascii="Comic Sans MS" w:hAnsi="Comic Sans MS" w:cstheme="minorHAnsi"/>
          <w:sz w:val="24"/>
          <w:szCs w:val="24"/>
        </w:rPr>
        <w:t>Gerçek kişilerde tebligat kişinin bilinen son adreste yapılır. Bu adrese tebligat yapılamıyorsa adres kayıt sistemindeki adrese tebligat yapılabilir. Ticaret şirketinin bilinen son adresi ticaret sicilinde kayıtlı olan adrestir. Tebligat kural olarak adreste yapılır. Bazı hallerde adres dışında da yapılabilir. Celse sırasında avukat kâtip, stajyerlerine bir sonraki duruşma gün ve saati bildirimi avukatı tebliğ hükmündedir.</w:t>
      </w:r>
    </w:p>
    <w:p w:rsidR="00911B07" w:rsidRPr="002D096F" w:rsidRDefault="00911B07" w:rsidP="00911B07">
      <w:pPr>
        <w:spacing w:after="0" w:line="240" w:lineRule="auto"/>
        <w:ind w:firstLine="284"/>
        <w:jc w:val="both"/>
        <w:rPr>
          <w:rFonts w:ascii="Comic Sans MS" w:hAnsi="Comic Sans MS" w:cstheme="minorHAnsi"/>
          <w:sz w:val="24"/>
          <w:szCs w:val="24"/>
        </w:rPr>
      </w:pPr>
      <w:r w:rsidRPr="002D096F">
        <w:rPr>
          <w:rFonts w:ascii="Comic Sans MS" w:hAnsi="Comic Sans MS" w:cstheme="minorHAnsi"/>
          <w:b/>
          <w:sz w:val="24"/>
          <w:szCs w:val="24"/>
        </w:rPr>
        <w:t>Adres değişikliği halinde yapılacak</w:t>
      </w:r>
      <w:r w:rsidRPr="002D096F">
        <w:rPr>
          <w:rFonts w:ascii="Comic Sans MS" w:hAnsi="Comic Sans MS" w:cstheme="minorHAnsi"/>
          <w:sz w:val="24"/>
          <w:szCs w:val="24"/>
        </w:rPr>
        <w:t xml:space="preserve"> yeri muhatabın yeni adresine bildirmesi zorunludur. Daha sonra yapılacak tebligatlar bildirilen bu adrese yapılır. Adres değiştiren kişi yenisini bildirmezse ve adres kayıt sisteminde adres tespit edilemezse adres araştırmasına gerek olmadan tebliğ evrakının bir nüshası eski adres kapısına yapıştırılır. Bundan sonra eski adres</w:t>
      </w:r>
      <w:r>
        <w:rPr>
          <w:rFonts w:ascii="Comic Sans MS" w:hAnsi="Comic Sans MS" w:cstheme="minorHAnsi"/>
          <w:sz w:val="24"/>
          <w:szCs w:val="24"/>
        </w:rPr>
        <w:t>e</w:t>
      </w:r>
      <w:r w:rsidRPr="002D096F">
        <w:rPr>
          <w:rFonts w:ascii="Comic Sans MS" w:hAnsi="Comic Sans MS" w:cstheme="minorHAnsi"/>
          <w:sz w:val="24"/>
          <w:szCs w:val="24"/>
        </w:rPr>
        <w:t xml:space="preserve"> yapılmış sayılır.</w:t>
      </w:r>
    </w:p>
    <w:p w:rsidR="00AD3A91" w:rsidRDefault="00AD3A91">
      <w:bookmarkStart w:id="0" w:name="_GoBack"/>
      <w:bookmarkEnd w:id="0"/>
    </w:p>
    <w:sectPr w:rsidR="00AD3A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40000013"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06985"/>
    <w:multiLevelType w:val="hybridMultilevel"/>
    <w:tmpl w:val="981877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B7708B6"/>
    <w:multiLevelType w:val="hybridMultilevel"/>
    <w:tmpl w:val="8A767C82"/>
    <w:lvl w:ilvl="0" w:tplc="E4BECFF6">
      <w:start w:val="1"/>
      <w:numFmt w:val="decimal"/>
      <w:lvlText w:val="%1."/>
      <w:lvlJc w:val="left"/>
      <w:pPr>
        <w:ind w:left="644" w:hanging="360"/>
      </w:pPr>
      <w:rPr>
        <w:rFonts w:hint="default"/>
        <w:sz w:val="24"/>
        <w:szCs w:val="24"/>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38"/>
    <w:rsid w:val="00911B07"/>
    <w:rsid w:val="00AD3A91"/>
    <w:rsid w:val="00E16D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A0097-FF94-430B-8286-2A01C56E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B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2017-12-27T22:14:00Z</dcterms:created>
  <dcterms:modified xsi:type="dcterms:W3CDTF">2017-12-27T22:14:00Z</dcterms:modified>
</cp:coreProperties>
</file>