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DC" w:rsidRPr="00F030DC" w:rsidRDefault="00F030DC" w:rsidP="00F030DC">
      <w:pPr>
        <w:spacing w:after="0" w:line="240" w:lineRule="auto"/>
        <w:jc w:val="both"/>
        <w:rPr>
          <w:rFonts w:ascii="Arial" w:hAnsi="Arial" w:cs="Arial"/>
          <w:b/>
          <w:sz w:val="24"/>
          <w:szCs w:val="24"/>
        </w:rPr>
      </w:pPr>
      <w:bookmarkStart w:id="0" w:name="_GoBack"/>
      <w:r w:rsidRPr="00F030DC">
        <w:rPr>
          <w:rFonts w:ascii="Arial" w:hAnsi="Arial" w:cs="Arial"/>
          <w:b/>
          <w:sz w:val="24"/>
          <w:szCs w:val="24"/>
        </w:rPr>
        <w:t>YAPILDIĞI YERE GÖRE TEBLİGAT</w:t>
      </w:r>
    </w:p>
    <w:p w:rsidR="00F030DC" w:rsidRPr="00F030DC" w:rsidRDefault="00F030DC" w:rsidP="00F030DC">
      <w:pPr>
        <w:spacing w:after="0" w:line="240" w:lineRule="auto"/>
        <w:jc w:val="both"/>
        <w:rPr>
          <w:rFonts w:ascii="Arial" w:hAnsi="Arial" w:cs="Arial"/>
          <w:b/>
          <w:sz w:val="24"/>
          <w:szCs w:val="24"/>
        </w:rPr>
      </w:pPr>
    </w:p>
    <w:p w:rsidR="00F030DC" w:rsidRPr="00F030DC" w:rsidRDefault="00F030DC" w:rsidP="00F030DC">
      <w:pPr>
        <w:spacing w:after="0" w:line="240" w:lineRule="auto"/>
        <w:jc w:val="both"/>
        <w:rPr>
          <w:rFonts w:ascii="Arial" w:hAnsi="Arial" w:cs="Arial"/>
          <w:b/>
          <w:sz w:val="24"/>
          <w:szCs w:val="24"/>
        </w:rPr>
      </w:pPr>
      <w:r w:rsidRPr="00F030DC">
        <w:rPr>
          <w:rFonts w:ascii="Arial" w:hAnsi="Arial" w:cs="Arial"/>
          <w:b/>
          <w:sz w:val="24"/>
          <w:szCs w:val="24"/>
        </w:rPr>
        <w:t>YURT İÇİ TEBLİGAT</w:t>
      </w:r>
    </w:p>
    <w:p w:rsidR="00F030DC" w:rsidRPr="00F030DC" w:rsidRDefault="00F030DC" w:rsidP="00F030DC">
      <w:pPr>
        <w:spacing w:after="0" w:line="240" w:lineRule="auto"/>
        <w:jc w:val="both"/>
        <w:rPr>
          <w:rFonts w:ascii="Arial" w:hAnsi="Arial" w:cs="Arial"/>
          <w:b/>
          <w:sz w:val="24"/>
          <w:szCs w:val="24"/>
        </w:rPr>
      </w:pPr>
    </w:p>
    <w:p w:rsidR="00F030DC" w:rsidRPr="00F030DC" w:rsidRDefault="00F030DC" w:rsidP="00F030DC">
      <w:pPr>
        <w:spacing w:after="0" w:line="240" w:lineRule="auto"/>
        <w:jc w:val="both"/>
        <w:rPr>
          <w:rFonts w:ascii="Arial" w:hAnsi="Arial" w:cs="Arial"/>
          <w:sz w:val="24"/>
          <w:szCs w:val="24"/>
        </w:rPr>
      </w:pPr>
      <w:r w:rsidRPr="00F030DC">
        <w:rPr>
          <w:rFonts w:ascii="Arial" w:hAnsi="Arial" w:cs="Arial"/>
          <w:b/>
          <w:sz w:val="24"/>
          <w:szCs w:val="24"/>
        </w:rPr>
        <w:t>a)Türk Vatandaşlarına Tebligat:</w:t>
      </w:r>
      <w:r w:rsidRPr="00F030DC">
        <w:rPr>
          <w:rFonts w:ascii="Arial" w:hAnsi="Arial" w:cs="Arial"/>
          <w:sz w:val="24"/>
          <w:szCs w:val="24"/>
        </w:rPr>
        <w:t xml:space="preserve"> Türkiye’de bulunan Türk Vatandaşlarına </w:t>
      </w:r>
      <w:proofErr w:type="gramStart"/>
      <w:r w:rsidRPr="00F030DC">
        <w:rPr>
          <w:rFonts w:ascii="Arial" w:hAnsi="Arial" w:cs="Arial"/>
          <w:sz w:val="24"/>
          <w:szCs w:val="24"/>
        </w:rPr>
        <w:t>tebligat  Kanunu</w:t>
      </w:r>
      <w:proofErr w:type="gramEnd"/>
      <w:r w:rsidRPr="00F030DC">
        <w:rPr>
          <w:rFonts w:ascii="Arial" w:hAnsi="Arial" w:cs="Arial"/>
          <w:sz w:val="24"/>
          <w:szCs w:val="24"/>
        </w:rPr>
        <w:t xml:space="preserve"> hükümlerine göre olur. </w:t>
      </w:r>
    </w:p>
    <w:p w:rsidR="00F030DC" w:rsidRPr="00F030DC" w:rsidRDefault="00F030DC" w:rsidP="00F030DC">
      <w:pPr>
        <w:spacing w:after="0" w:line="240" w:lineRule="auto"/>
        <w:jc w:val="both"/>
        <w:rPr>
          <w:rFonts w:ascii="Arial" w:hAnsi="Arial" w:cs="Arial"/>
          <w:sz w:val="24"/>
          <w:szCs w:val="24"/>
        </w:rPr>
      </w:pPr>
      <w:r w:rsidRPr="00F030DC">
        <w:rPr>
          <w:rFonts w:ascii="Arial" w:hAnsi="Arial" w:cs="Arial"/>
          <w:sz w:val="24"/>
          <w:szCs w:val="24"/>
        </w:rPr>
        <w:t xml:space="preserve">Türkiye’de bulunan bir yabancıya tebligat yapılması halinde ikili bir ayrım yapılır. İlk olarak bu yabancı kişi tebligat yapılacak bir kişi durumundaysa tebligat kanuna göre yapılır. Eğer bu yabancıya Türkiye’de tebligat yapılamazsa tebliğ memuru bu durumu tebliğ evrakına yazar ve evrakı tebligatı çıkarana </w:t>
      </w:r>
      <w:proofErr w:type="spellStart"/>
      <w:r w:rsidRPr="00F030DC">
        <w:rPr>
          <w:rFonts w:ascii="Arial" w:hAnsi="Arial" w:cs="Arial"/>
          <w:sz w:val="24"/>
          <w:szCs w:val="24"/>
        </w:rPr>
        <w:t>merciye</w:t>
      </w:r>
      <w:proofErr w:type="spellEnd"/>
      <w:r w:rsidRPr="00F030DC">
        <w:rPr>
          <w:rFonts w:ascii="Arial" w:hAnsi="Arial" w:cs="Arial"/>
          <w:sz w:val="24"/>
          <w:szCs w:val="24"/>
        </w:rPr>
        <w:t xml:space="preserve"> iade eder. Merci de evrakı bağlı olduğu bakanlık kanalıyla Dış İşleri Bakanlığına gönderir.</w:t>
      </w:r>
    </w:p>
    <w:p w:rsidR="00F030DC" w:rsidRPr="00F030DC" w:rsidRDefault="00F030DC" w:rsidP="00F030DC">
      <w:pPr>
        <w:spacing w:after="0" w:line="240" w:lineRule="auto"/>
        <w:jc w:val="both"/>
        <w:rPr>
          <w:rFonts w:ascii="Arial" w:hAnsi="Arial" w:cs="Arial"/>
          <w:b/>
          <w:sz w:val="24"/>
          <w:szCs w:val="24"/>
        </w:rPr>
      </w:pPr>
    </w:p>
    <w:p w:rsidR="00F030DC" w:rsidRPr="00F030DC" w:rsidRDefault="00F030DC" w:rsidP="00F030DC">
      <w:pPr>
        <w:spacing w:after="0" w:line="240" w:lineRule="auto"/>
        <w:jc w:val="both"/>
        <w:rPr>
          <w:rFonts w:ascii="Arial" w:hAnsi="Arial" w:cs="Arial"/>
          <w:b/>
          <w:sz w:val="24"/>
          <w:szCs w:val="24"/>
        </w:rPr>
      </w:pPr>
      <w:r w:rsidRPr="00F030DC">
        <w:rPr>
          <w:rFonts w:ascii="Arial" w:hAnsi="Arial" w:cs="Arial"/>
          <w:b/>
          <w:sz w:val="24"/>
          <w:szCs w:val="24"/>
        </w:rPr>
        <w:t>YURT DIŞINA TEBLİGAT</w:t>
      </w:r>
    </w:p>
    <w:p w:rsidR="00F030DC" w:rsidRPr="00F030DC" w:rsidRDefault="00F030DC" w:rsidP="00F030DC">
      <w:pPr>
        <w:spacing w:after="0" w:line="240" w:lineRule="auto"/>
        <w:ind w:firstLine="708"/>
        <w:jc w:val="both"/>
        <w:rPr>
          <w:rFonts w:ascii="Arial" w:hAnsi="Arial" w:cs="Arial"/>
          <w:sz w:val="24"/>
          <w:szCs w:val="24"/>
        </w:rPr>
      </w:pPr>
    </w:p>
    <w:p w:rsidR="00F030DC" w:rsidRPr="00F030DC" w:rsidRDefault="00F030DC" w:rsidP="00F030DC">
      <w:pPr>
        <w:spacing w:after="0" w:line="240" w:lineRule="auto"/>
        <w:ind w:firstLine="708"/>
        <w:jc w:val="both"/>
        <w:rPr>
          <w:rFonts w:ascii="Arial" w:hAnsi="Arial" w:cs="Arial"/>
          <w:sz w:val="24"/>
          <w:szCs w:val="24"/>
        </w:rPr>
      </w:pPr>
      <w:r w:rsidRPr="00F030DC">
        <w:rPr>
          <w:rFonts w:ascii="Arial" w:hAnsi="Arial" w:cs="Arial"/>
          <w:sz w:val="24"/>
          <w:szCs w:val="24"/>
        </w:rPr>
        <w:t>Yabancı ülkede bulunanlara tebliğ olunacak evrak tebligatı çıkaran merciinin bağlı bulunduğu Bakanlık aracılığıyla Dış İşleri Bakanlığı oradan da o yerdeki Türkiye Büyük Elçilik’ ne veya Baş Konsolosluğuna gönderilir.</w:t>
      </w:r>
    </w:p>
    <w:p w:rsidR="00F030DC" w:rsidRPr="00F030DC" w:rsidRDefault="00F030DC" w:rsidP="00F030DC">
      <w:pPr>
        <w:spacing w:after="0" w:line="240" w:lineRule="auto"/>
        <w:jc w:val="both"/>
        <w:rPr>
          <w:rFonts w:ascii="Arial" w:hAnsi="Arial" w:cs="Arial"/>
          <w:sz w:val="24"/>
          <w:szCs w:val="24"/>
        </w:rPr>
      </w:pPr>
      <w:r w:rsidRPr="00F030DC">
        <w:rPr>
          <w:rFonts w:ascii="Arial" w:hAnsi="Arial" w:cs="Arial"/>
          <w:sz w:val="24"/>
          <w:szCs w:val="24"/>
        </w:rPr>
        <w:t>Yabancı ülkelere gönderilecek olan ve belirli ünü içeren tebliğ evrakının tebliğ çıkaran merci tarafından belirlenen günden en az 3 ay önce ilgili Bakanlığa gönderilmesi gerekir.</w:t>
      </w:r>
    </w:p>
    <w:p w:rsidR="00F030DC" w:rsidRPr="00F030DC" w:rsidRDefault="00F030DC" w:rsidP="00F030DC">
      <w:pPr>
        <w:spacing w:after="0" w:line="240" w:lineRule="auto"/>
        <w:jc w:val="both"/>
        <w:rPr>
          <w:rFonts w:ascii="Arial" w:hAnsi="Arial" w:cs="Arial"/>
          <w:sz w:val="24"/>
          <w:szCs w:val="24"/>
        </w:rPr>
      </w:pPr>
      <w:r w:rsidRPr="00F030DC">
        <w:rPr>
          <w:rFonts w:ascii="Arial" w:hAnsi="Arial" w:cs="Arial"/>
          <w:sz w:val="24"/>
          <w:szCs w:val="24"/>
        </w:rPr>
        <w:tab/>
        <w:t>Yabancı ülkede kendine tebligat yapılacak kişi Türk Vatandaşlığı değilse tebligat o ülkenin yetkili makamı vasıtasıyla yapılır. Yabancı ülkede kendisine tebligat yapılacak kişi, Türk Vatandaşıysa tebligat o yerdeki konsolosluk vasıtasıyla yapılabilir.</w:t>
      </w:r>
    </w:p>
    <w:p w:rsidR="00F030DC" w:rsidRPr="00F030DC" w:rsidRDefault="00F030DC" w:rsidP="00F030DC">
      <w:pPr>
        <w:spacing w:after="0" w:line="240" w:lineRule="auto"/>
        <w:jc w:val="both"/>
        <w:rPr>
          <w:rFonts w:ascii="Arial" w:hAnsi="Arial" w:cs="Arial"/>
          <w:sz w:val="24"/>
          <w:szCs w:val="24"/>
        </w:rPr>
      </w:pPr>
      <w:r w:rsidRPr="00F030DC">
        <w:rPr>
          <w:rFonts w:ascii="Arial" w:hAnsi="Arial" w:cs="Arial"/>
          <w:sz w:val="24"/>
          <w:szCs w:val="24"/>
        </w:rPr>
        <w:t>Yabancı ülkede bulunan Türk Askerlerine tebligat bağlı oldukları Kara, Deniz, Hava Kuvvetler Komutanlığı, Jandarma Genel Komutanlığı ve Sahil Güvenlik Komutanlığı vasıtasıyla yapılır.</w:t>
      </w:r>
    </w:p>
    <w:p w:rsidR="00F030DC" w:rsidRPr="00F030DC" w:rsidRDefault="00F030DC" w:rsidP="00F030DC">
      <w:pPr>
        <w:spacing w:after="0" w:line="240" w:lineRule="auto"/>
        <w:jc w:val="center"/>
        <w:rPr>
          <w:rFonts w:ascii="Arial" w:hAnsi="Arial" w:cs="Arial"/>
          <w:b/>
          <w:sz w:val="24"/>
          <w:szCs w:val="24"/>
        </w:rPr>
      </w:pPr>
    </w:p>
    <w:p w:rsidR="00F030DC" w:rsidRPr="00F030DC" w:rsidRDefault="00F030DC" w:rsidP="00F030DC">
      <w:pPr>
        <w:spacing w:after="0" w:line="240" w:lineRule="auto"/>
        <w:rPr>
          <w:rFonts w:ascii="Arial" w:hAnsi="Arial" w:cs="Arial"/>
          <w:b/>
          <w:sz w:val="24"/>
          <w:szCs w:val="24"/>
        </w:rPr>
      </w:pPr>
      <w:r w:rsidRPr="00F030DC">
        <w:rPr>
          <w:rFonts w:ascii="Arial" w:hAnsi="Arial" w:cs="Arial"/>
          <w:b/>
          <w:sz w:val="24"/>
          <w:szCs w:val="24"/>
        </w:rPr>
        <w:t xml:space="preserve">BİR BAŞKA İFADEYLE; </w:t>
      </w:r>
    </w:p>
    <w:p w:rsidR="00F030DC" w:rsidRPr="00F030DC" w:rsidRDefault="00F030DC" w:rsidP="00F030DC">
      <w:pPr>
        <w:pStyle w:val="AralkYok"/>
        <w:numPr>
          <w:ilvl w:val="0"/>
          <w:numId w:val="1"/>
        </w:numPr>
        <w:rPr>
          <w:rFonts w:ascii="Arial" w:hAnsi="Arial" w:cs="Arial"/>
          <w:sz w:val="24"/>
          <w:szCs w:val="24"/>
        </w:rPr>
      </w:pPr>
      <w:r w:rsidRPr="00F030DC">
        <w:rPr>
          <w:rFonts w:ascii="Arial" w:hAnsi="Arial" w:cs="Arial"/>
          <w:sz w:val="24"/>
          <w:szCs w:val="24"/>
        </w:rPr>
        <w:t>YAPILDIĞI YERE GÖRE TEBLİGAT</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2"/>
        </w:numPr>
        <w:rPr>
          <w:rFonts w:ascii="Arial" w:hAnsi="Arial" w:cs="Arial"/>
          <w:sz w:val="24"/>
          <w:szCs w:val="24"/>
        </w:rPr>
      </w:pPr>
      <w:r w:rsidRPr="00F030DC">
        <w:rPr>
          <w:rFonts w:ascii="Arial" w:hAnsi="Arial" w:cs="Arial"/>
          <w:sz w:val="24"/>
          <w:szCs w:val="24"/>
        </w:rPr>
        <w:t>Yurtiçi Tebligat: Yurt içerisinde bulunan Türk vatandaşlarına yapılan tebligat, tebligat mevzuatına göre yapılır.</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1"/>
        </w:numPr>
        <w:rPr>
          <w:rFonts w:ascii="Arial" w:hAnsi="Arial" w:cs="Arial"/>
          <w:sz w:val="24"/>
          <w:szCs w:val="24"/>
        </w:rPr>
      </w:pPr>
      <w:r w:rsidRPr="00F030DC">
        <w:rPr>
          <w:rFonts w:ascii="Arial" w:hAnsi="Arial" w:cs="Arial"/>
          <w:sz w:val="24"/>
          <w:szCs w:val="24"/>
        </w:rPr>
        <w:t>YURTİÇİ TEBLİGAT</w:t>
      </w:r>
    </w:p>
    <w:p w:rsidR="00F030DC" w:rsidRPr="00F030DC" w:rsidRDefault="00F030DC" w:rsidP="00F030DC">
      <w:pPr>
        <w:pStyle w:val="AralkYok"/>
        <w:ind w:left="720"/>
        <w:rPr>
          <w:rFonts w:ascii="Arial" w:hAnsi="Arial" w:cs="Arial"/>
          <w:sz w:val="24"/>
          <w:szCs w:val="24"/>
        </w:rPr>
      </w:pPr>
    </w:p>
    <w:p w:rsidR="00F030DC" w:rsidRPr="00F030DC" w:rsidRDefault="00F030DC" w:rsidP="00F030DC">
      <w:pPr>
        <w:pStyle w:val="AralkYok"/>
        <w:numPr>
          <w:ilvl w:val="0"/>
          <w:numId w:val="5"/>
        </w:numPr>
        <w:rPr>
          <w:rFonts w:ascii="Arial" w:hAnsi="Arial" w:cs="Arial"/>
          <w:sz w:val="24"/>
          <w:szCs w:val="24"/>
        </w:rPr>
      </w:pPr>
      <w:r w:rsidRPr="00F030DC">
        <w:rPr>
          <w:rFonts w:ascii="Arial" w:hAnsi="Arial" w:cs="Arial"/>
          <w:sz w:val="24"/>
          <w:szCs w:val="24"/>
        </w:rPr>
        <w:t>Türk vatandaşlarına Tebligat, Tebligat mevzuatına göre yapılır.</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3"/>
        </w:numPr>
        <w:rPr>
          <w:rFonts w:ascii="Arial" w:hAnsi="Arial" w:cs="Arial"/>
          <w:sz w:val="24"/>
          <w:szCs w:val="24"/>
        </w:rPr>
      </w:pPr>
      <w:r w:rsidRPr="00F030DC">
        <w:rPr>
          <w:rFonts w:ascii="Arial" w:hAnsi="Arial" w:cs="Arial"/>
          <w:sz w:val="24"/>
          <w:szCs w:val="24"/>
        </w:rPr>
        <w:t>Yabancılara Tebligat</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2"/>
        </w:numPr>
        <w:rPr>
          <w:rFonts w:ascii="Arial" w:hAnsi="Arial" w:cs="Arial"/>
          <w:sz w:val="24"/>
          <w:szCs w:val="24"/>
        </w:rPr>
      </w:pPr>
      <w:r w:rsidRPr="00F030DC">
        <w:rPr>
          <w:rFonts w:ascii="Arial" w:hAnsi="Arial" w:cs="Arial"/>
          <w:sz w:val="24"/>
          <w:szCs w:val="24"/>
        </w:rPr>
        <w:t xml:space="preserve">Kendilerine Türkiye’de tebligat yapılabilecek yabancılar. Tebligat mevzuatına göre yapılır.                              </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2"/>
        </w:numPr>
        <w:rPr>
          <w:rFonts w:ascii="Arial" w:hAnsi="Arial" w:cs="Arial"/>
          <w:sz w:val="24"/>
          <w:szCs w:val="24"/>
        </w:rPr>
      </w:pPr>
      <w:r w:rsidRPr="00F030DC">
        <w:rPr>
          <w:rFonts w:ascii="Arial" w:hAnsi="Arial" w:cs="Arial"/>
          <w:sz w:val="24"/>
          <w:szCs w:val="24"/>
        </w:rPr>
        <w:t>Kendilerine Türkiye’de tebligat yapılamayacak yabancılar.</w:t>
      </w:r>
    </w:p>
    <w:p w:rsidR="00F030DC" w:rsidRPr="00F030DC" w:rsidRDefault="00F030DC" w:rsidP="00F030DC">
      <w:pPr>
        <w:pStyle w:val="AralkYok"/>
        <w:rPr>
          <w:rFonts w:ascii="Arial" w:hAnsi="Arial" w:cs="Arial"/>
          <w:sz w:val="24"/>
          <w:szCs w:val="24"/>
        </w:rPr>
      </w:pPr>
      <w:r w:rsidRPr="00F030DC">
        <w:rPr>
          <w:rFonts w:ascii="Arial" w:hAnsi="Arial" w:cs="Arial"/>
          <w:sz w:val="24"/>
          <w:szCs w:val="24"/>
        </w:rPr>
        <w:t xml:space="preserve">         </w:t>
      </w:r>
    </w:p>
    <w:p w:rsidR="00F030DC" w:rsidRPr="00F030DC" w:rsidRDefault="00F030DC" w:rsidP="00F030DC">
      <w:pPr>
        <w:pStyle w:val="AralkYok"/>
        <w:numPr>
          <w:ilvl w:val="0"/>
          <w:numId w:val="4"/>
        </w:numPr>
        <w:rPr>
          <w:rFonts w:ascii="Arial" w:hAnsi="Arial" w:cs="Arial"/>
          <w:sz w:val="24"/>
          <w:szCs w:val="24"/>
        </w:rPr>
      </w:pPr>
      <w:r w:rsidRPr="00F030DC">
        <w:rPr>
          <w:rFonts w:ascii="Arial" w:hAnsi="Arial" w:cs="Arial"/>
          <w:sz w:val="24"/>
          <w:szCs w:val="24"/>
        </w:rPr>
        <w:t xml:space="preserve">-elçi -elçilik </w:t>
      </w:r>
      <w:proofErr w:type="gramStart"/>
      <w:r w:rsidRPr="00F030DC">
        <w:rPr>
          <w:rFonts w:ascii="Arial" w:hAnsi="Arial" w:cs="Arial"/>
          <w:sz w:val="24"/>
          <w:szCs w:val="24"/>
        </w:rPr>
        <w:t>katipleri</w:t>
      </w:r>
      <w:proofErr w:type="gramEnd"/>
      <w:r w:rsidRPr="00F030DC">
        <w:rPr>
          <w:rFonts w:ascii="Arial" w:hAnsi="Arial" w:cs="Arial"/>
          <w:sz w:val="24"/>
          <w:szCs w:val="24"/>
        </w:rPr>
        <w:t xml:space="preserve"> </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6"/>
        </w:numPr>
        <w:rPr>
          <w:rFonts w:ascii="Arial" w:hAnsi="Arial" w:cs="Arial"/>
          <w:sz w:val="24"/>
          <w:szCs w:val="24"/>
        </w:rPr>
      </w:pPr>
      <w:r w:rsidRPr="00F030DC">
        <w:rPr>
          <w:rFonts w:ascii="Arial" w:hAnsi="Arial" w:cs="Arial"/>
          <w:sz w:val="24"/>
          <w:szCs w:val="24"/>
        </w:rPr>
        <w:t xml:space="preserve">Aslında kendisine Türkiye’de tebligat yapılacak bir kişi fakat adresi ülke dışında olanlar. Bu iki halde tebliğ memuruna durum belirtilir ve memur bu durumu tebliğ mazbatasına yazar. Evrak tebliği çıkaran mercie iade edilir. Tebligatı yapacak kişinin bağlı olduğu Bakanlık aracılığıyla Dışişleri Bakanlığına gönderilir.       </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1"/>
        </w:numPr>
        <w:rPr>
          <w:rFonts w:ascii="Arial" w:hAnsi="Arial" w:cs="Arial"/>
          <w:sz w:val="24"/>
          <w:szCs w:val="24"/>
        </w:rPr>
      </w:pPr>
      <w:r w:rsidRPr="00F030DC">
        <w:rPr>
          <w:rFonts w:ascii="Arial" w:hAnsi="Arial" w:cs="Arial"/>
          <w:sz w:val="24"/>
          <w:szCs w:val="24"/>
        </w:rPr>
        <w:t>YURTDIŞI TEBLİGAT</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3"/>
        </w:numPr>
        <w:rPr>
          <w:rFonts w:ascii="Arial" w:hAnsi="Arial" w:cs="Arial"/>
          <w:sz w:val="24"/>
          <w:szCs w:val="24"/>
        </w:rPr>
      </w:pPr>
      <w:r w:rsidRPr="00F030DC">
        <w:rPr>
          <w:rFonts w:ascii="Arial" w:hAnsi="Arial" w:cs="Arial"/>
          <w:sz w:val="24"/>
          <w:szCs w:val="24"/>
        </w:rPr>
        <w:t>Türkiye’den yurtdışına tebligat</w:t>
      </w:r>
    </w:p>
    <w:p w:rsidR="00F030DC" w:rsidRPr="00F030DC" w:rsidRDefault="00F030DC" w:rsidP="00F030DC">
      <w:pPr>
        <w:pStyle w:val="AralkYok"/>
        <w:ind w:left="720"/>
        <w:rPr>
          <w:rFonts w:ascii="Arial" w:hAnsi="Arial" w:cs="Arial"/>
          <w:sz w:val="24"/>
          <w:szCs w:val="24"/>
        </w:rPr>
      </w:pPr>
    </w:p>
    <w:p w:rsidR="00F030DC" w:rsidRPr="00F030DC" w:rsidRDefault="00F030DC" w:rsidP="00F030DC">
      <w:pPr>
        <w:pStyle w:val="AralkYok"/>
        <w:numPr>
          <w:ilvl w:val="0"/>
          <w:numId w:val="6"/>
        </w:numPr>
        <w:rPr>
          <w:rFonts w:ascii="Arial" w:hAnsi="Arial" w:cs="Arial"/>
          <w:sz w:val="24"/>
          <w:szCs w:val="24"/>
        </w:rPr>
      </w:pPr>
      <w:r w:rsidRPr="00F030DC">
        <w:rPr>
          <w:rFonts w:ascii="Arial" w:hAnsi="Arial" w:cs="Arial"/>
          <w:sz w:val="24"/>
          <w:szCs w:val="24"/>
        </w:rPr>
        <w:t xml:space="preserve">Türk vatandaşına tebligat: Tebligatı çıkaran merciinin bağlı olduğu bakanlık vasıtasıyla Dışişleri Bakanlığına bildirilir. Oradan da o yerdeki Türkiye Büyükelçiliği veya Başkonsolosluğuna evrak gönderilir. </w:t>
      </w:r>
    </w:p>
    <w:p w:rsidR="00F030DC" w:rsidRPr="00F030DC" w:rsidRDefault="00F030DC" w:rsidP="00F030DC">
      <w:pPr>
        <w:pStyle w:val="AralkYok"/>
        <w:rPr>
          <w:rFonts w:ascii="Arial" w:hAnsi="Arial" w:cs="Arial"/>
          <w:sz w:val="24"/>
          <w:szCs w:val="24"/>
        </w:rPr>
      </w:pPr>
      <w:r w:rsidRPr="00F030DC">
        <w:rPr>
          <w:rFonts w:ascii="Arial" w:hAnsi="Arial" w:cs="Arial"/>
          <w:sz w:val="24"/>
          <w:szCs w:val="24"/>
        </w:rPr>
        <w:t>-Asker ise bunu ülkede bulunan Türk askerlerine tebligat bağlı oldukları kuvvet komutanlığı vasıtasıyla yapılır.</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6"/>
        </w:numPr>
        <w:rPr>
          <w:rFonts w:ascii="Arial" w:hAnsi="Arial" w:cs="Arial"/>
          <w:sz w:val="24"/>
          <w:szCs w:val="24"/>
        </w:rPr>
      </w:pPr>
      <w:r w:rsidRPr="00F030DC">
        <w:rPr>
          <w:rFonts w:ascii="Arial" w:hAnsi="Arial" w:cs="Arial"/>
          <w:sz w:val="24"/>
          <w:szCs w:val="24"/>
        </w:rPr>
        <w:t>Yabancıya tebligat: O ülkenin yetkili makamı vasıtasıyla yapılır. Duruma göre Türk konsolosu tebligat yapılmasını yetkili makamdan isteyebilir.</w:t>
      </w:r>
    </w:p>
    <w:p w:rsidR="00F030DC" w:rsidRPr="00F030DC" w:rsidRDefault="00F030DC" w:rsidP="00F030DC">
      <w:pPr>
        <w:pStyle w:val="AralkYok"/>
        <w:rPr>
          <w:rFonts w:ascii="Arial" w:hAnsi="Arial" w:cs="Arial"/>
          <w:sz w:val="24"/>
          <w:szCs w:val="24"/>
        </w:rPr>
      </w:pPr>
    </w:p>
    <w:p w:rsidR="00F030DC" w:rsidRPr="00F030DC" w:rsidRDefault="00F030DC" w:rsidP="00F030DC">
      <w:pPr>
        <w:pStyle w:val="AralkYok"/>
        <w:numPr>
          <w:ilvl w:val="0"/>
          <w:numId w:val="3"/>
        </w:numPr>
        <w:rPr>
          <w:rFonts w:ascii="Arial" w:hAnsi="Arial" w:cs="Arial"/>
          <w:sz w:val="24"/>
          <w:szCs w:val="24"/>
        </w:rPr>
      </w:pPr>
      <w:r w:rsidRPr="00F030DC">
        <w:rPr>
          <w:rFonts w:ascii="Arial" w:hAnsi="Arial" w:cs="Arial"/>
          <w:sz w:val="24"/>
          <w:szCs w:val="24"/>
        </w:rPr>
        <w:t>Yurtdışından Türkiye’ye tebligat: Öncelikle bu evrak o yabancı ülkenin elçiliğinden dışişleri bakanlığına gelir. Oradan da ilgili makamlığa gönderilir. İlgili bakanlık yetkili mercii vasıtasıyla tebligatı, tebligat mevzuatına göre yapar.</w:t>
      </w:r>
    </w:p>
    <w:bookmarkEnd w:id="0"/>
    <w:p w:rsidR="00F030DC" w:rsidRDefault="00F030DC" w:rsidP="00F030DC">
      <w:pPr>
        <w:pStyle w:val="AralkYok"/>
      </w:pPr>
    </w:p>
    <w:p w:rsidR="00F030DC" w:rsidRDefault="00F030DC" w:rsidP="00F030DC">
      <w:pPr>
        <w:spacing w:after="0" w:line="240" w:lineRule="auto"/>
        <w:rPr>
          <w:b/>
          <w:sz w:val="32"/>
          <w:szCs w:val="32"/>
        </w:rPr>
      </w:pPr>
    </w:p>
    <w:p w:rsidR="00F030DC" w:rsidRDefault="00F030DC" w:rsidP="00F030DC">
      <w:pPr>
        <w:spacing w:after="0" w:line="240" w:lineRule="auto"/>
        <w:jc w:val="center"/>
        <w:rPr>
          <w:b/>
          <w:sz w:val="32"/>
          <w:szCs w:val="32"/>
        </w:rPr>
      </w:pPr>
    </w:p>
    <w:p w:rsidR="00F030DC" w:rsidRDefault="00F030DC" w:rsidP="00F030DC">
      <w:pPr>
        <w:spacing w:after="0" w:line="240" w:lineRule="auto"/>
        <w:jc w:val="center"/>
        <w:rPr>
          <w:b/>
          <w:sz w:val="32"/>
          <w:szCs w:val="32"/>
        </w:rPr>
      </w:pPr>
    </w:p>
    <w:p w:rsidR="006B7ED7" w:rsidRDefault="006B7ED7"/>
    <w:sectPr w:rsidR="006B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7ED"/>
    <w:multiLevelType w:val="hybridMultilevel"/>
    <w:tmpl w:val="6D34D99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9C6DF1"/>
    <w:multiLevelType w:val="hybridMultilevel"/>
    <w:tmpl w:val="1BBC687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1395C5B"/>
    <w:multiLevelType w:val="hybridMultilevel"/>
    <w:tmpl w:val="608E8146"/>
    <w:lvl w:ilvl="0" w:tplc="2766C68C">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31D50D1"/>
    <w:multiLevelType w:val="hybridMultilevel"/>
    <w:tmpl w:val="76DA17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3A41F4E"/>
    <w:multiLevelType w:val="hybridMultilevel"/>
    <w:tmpl w:val="5B2AD87C"/>
    <w:lvl w:ilvl="0" w:tplc="560EAD1E">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68937B6"/>
    <w:multiLevelType w:val="hybridMultilevel"/>
    <w:tmpl w:val="94144C66"/>
    <w:lvl w:ilvl="0" w:tplc="80CA5A1E">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4C"/>
    <w:rsid w:val="006B7ED7"/>
    <w:rsid w:val="0096294C"/>
    <w:rsid w:val="00F03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B0E80-4A1F-496B-B848-0BC9A4B6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0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030DC"/>
    <w:pPr>
      <w:tabs>
        <w:tab w:val="left" w:pos="5850"/>
      </w:tabs>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2017-12-27T22:07:00Z</dcterms:created>
  <dcterms:modified xsi:type="dcterms:W3CDTF">2017-12-27T22:07:00Z</dcterms:modified>
</cp:coreProperties>
</file>