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AE" w:rsidRPr="00A01335" w:rsidRDefault="00F70CAE" w:rsidP="00F70CAE">
      <w:pPr>
        <w:pStyle w:val="ListeParagraf"/>
        <w:tabs>
          <w:tab w:val="left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01335">
        <w:rPr>
          <w:rFonts w:ascii="Arial" w:hAnsi="Arial" w:cs="Arial"/>
          <w:b/>
          <w:bCs/>
          <w:sz w:val="20"/>
          <w:szCs w:val="20"/>
        </w:rPr>
        <w:t xml:space="preserve">31. </w:t>
      </w:r>
      <w:r w:rsidRPr="00A01335">
        <w:rPr>
          <w:rFonts w:ascii="Arial" w:hAnsi="Arial" w:cs="Arial"/>
          <w:b/>
          <w:bCs/>
          <w:sz w:val="20"/>
          <w:szCs w:val="20"/>
        </w:rPr>
        <w:tab/>
        <w:t>Sigorta Şirketlerinin Denetimini Kim Yapar?</w:t>
      </w:r>
    </w:p>
    <w:p w:rsidR="00F70CAE" w:rsidRPr="008B5B16" w:rsidRDefault="00F70CAE" w:rsidP="00F70CAE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Hazine Müsteşarlığı’na doğrudan bağlı Sigorta Denetleme K</w:t>
      </w:r>
      <w:r w:rsidRPr="008B5B16">
        <w:rPr>
          <w:rFonts w:ascii="Arial" w:hAnsi="Arial" w:cs="Arial"/>
          <w:sz w:val="18"/>
          <w:szCs w:val="18"/>
          <w:lang w:val="tr-TR"/>
        </w:rPr>
        <w:t>u</w:t>
      </w:r>
      <w:r w:rsidRPr="008B5B16">
        <w:rPr>
          <w:rFonts w:ascii="Arial" w:hAnsi="Arial" w:cs="Arial"/>
          <w:sz w:val="18"/>
          <w:szCs w:val="18"/>
          <w:lang w:val="tr-TR"/>
        </w:rPr>
        <w:t>rulu tarafından yapılır</w:t>
      </w:r>
      <w:r>
        <w:rPr>
          <w:rFonts w:ascii="Arial" w:hAnsi="Arial" w:cs="Arial"/>
          <w:sz w:val="18"/>
          <w:szCs w:val="18"/>
          <w:lang w:val="tr-TR"/>
        </w:rPr>
        <w:t>.</w:t>
      </w:r>
    </w:p>
    <w:p w:rsidR="00F70CAE" w:rsidRDefault="00F70CAE" w:rsidP="00F70CAE">
      <w:pPr>
        <w:rPr>
          <w:rFonts w:ascii="Arial" w:hAnsi="Arial" w:cs="Arial"/>
          <w:b/>
          <w:bCs/>
          <w:sz w:val="20"/>
          <w:szCs w:val="20"/>
          <w:lang w:val="tr-TR"/>
        </w:rPr>
      </w:pPr>
      <w:r w:rsidRPr="00A01335">
        <w:rPr>
          <w:rFonts w:ascii="Arial" w:hAnsi="Arial" w:cs="Arial"/>
          <w:b/>
          <w:bCs/>
          <w:sz w:val="20"/>
          <w:szCs w:val="20"/>
          <w:lang w:val="tr-TR"/>
        </w:rPr>
        <w:t xml:space="preserve">32. </w:t>
      </w:r>
      <w:r w:rsidRPr="00A01335">
        <w:rPr>
          <w:rFonts w:ascii="Arial" w:hAnsi="Arial" w:cs="Arial"/>
          <w:b/>
          <w:bCs/>
          <w:sz w:val="20"/>
          <w:szCs w:val="20"/>
          <w:lang w:val="tr-TR"/>
        </w:rPr>
        <w:tab/>
        <w:t>Sigortanın Tasnifi Nasıldır?</w:t>
      </w:r>
    </w:p>
    <w:p w:rsidR="00F70CAE" w:rsidRPr="00A01335" w:rsidRDefault="00F70CAE" w:rsidP="00F70CAE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</w:p>
    <w:tbl>
      <w:tblPr>
        <w:tblW w:w="0" w:type="auto"/>
        <w:tblInd w:w="10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000000"/>
          <w:insideV w:val="single" w:sz="4" w:space="0" w:color="000000"/>
        </w:tblBorders>
        <w:tblLook w:val="00A0"/>
      </w:tblPr>
      <w:tblGrid>
        <w:gridCol w:w="2840"/>
        <w:gridCol w:w="2724"/>
      </w:tblGrid>
      <w:tr w:rsidR="00F70CAE" w:rsidRPr="008B5B16" w:rsidTr="00827733">
        <w:trPr>
          <w:trHeight w:val="20"/>
        </w:trPr>
        <w:tc>
          <w:tcPr>
            <w:tcW w:w="2840" w:type="dxa"/>
            <w:shd w:val="clear" w:color="auto" w:fill="D9D9D9" w:themeFill="background1" w:themeFillShade="D9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ÖZEL SİGORTA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SOSYAL SİGORTA</w:t>
            </w:r>
          </w:p>
        </w:tc>
      </w:tr>
      <w:tr w:rsidR="00F70CAE" w:rsidRPr="008B5B16" w:rsidTr="00827733">
        <w:trPr>
          <w:trHeight w:val="20"/>
        </w:trPr>
        <w:tc>
          <w:tcPr>
            <w:tcW w:w="2840" w:type="dxa"/>
            <w:shd w:val="clear" w:color="auto" w:fill="F2F2F2" w:themeFill="background1" w:themeFillShade="F2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Özel sigortalar, özel sektördeki sigorta şirketleri tarafından yapılır. Kural olarak ihtiyaridir. Fakat bazı hallerde zorunludur. (Örn. Deprem sigortası). Bu sigortalarda kaynak sigorta sözleşm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e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sidir. Herkes yararlanabilir. İçerik ve kapsam kişiden kişiye farklılık gösterir (Yaş gibi)</w:t>
            </w:r>
          </w:p>
        </w:tc>
        <w:tc>
          <w:tcPr>
            <w:tcW w:w="2724" w:type="dxa"/>
            <w:shd w:val="clear" w:color="auto" w:fill="F2F2F2" w:themeFill="background1" w:themeFillShade="F2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Kanunla kurulmuş kurumlar tarafından yapılır. Zorunlu bir nitelik taşır. Kişiler sözleşme </w:t>
            </w:r>
            <w:proofErr w:type="gram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serbestisine</w:t>
            </w:r>
            <w:proofErr w:type="gram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sahip değildir. Kaynağı kanundur. Belirli bir statüde olmak gerekir (işçi, memur gibi</w:t>
            </w:r>
            <w:proofErr w:type="gram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..</w:t>
            </w:r>
            <w:proofErr w:type="gram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) İçeriğini kanun belirler.</w:t>
            </w:r>
          </w:p>
        </w:tc>
      </w:tr>
      <w:tr w:rsidR="00F70CAE" w:rsidRPr="008B5B16" w:rsidTr="00827733">
        <w:tblPrEx>
          <w:tblBorders>
            <w:insideH w:val="none" w:sz="0" w:space="0" w:color="auto"/>
          </w:tblBorders>
          <w:shd w:val="clear" w:color="auto" w:fill="F2F2F2" w:themeFill="background1" w:themeFillShade="F2"/>
        </w:tblPrEx>
        <w:trPr>
          <w:trHeight w:val="20"/>
        </w:trPr>
        <w:tc>
          <w:tcPr>
            <w:tcW w:w="2840" w:type="dxa"/>
            <w:shd w:val="clear" w:color="auto" w:fill="F2F2F2" w:themeFill="background1" w:themeFillShade="F2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MAL SİGORTASI</w:t>
            </w:r>
          </w:p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Sigorta bedeli sigorta değerine eşittir. Sigortalının uğradığı gerçek zararlar sigortacı tarafı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n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dan karşılanır. Tazmin ilkesi esastır.</w:t>
            </w:r>
          </w:p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Sigortacı sigorta tazminatını ödedikten sonra sigorta ettirenin üçüncü kişilere karşı sahip olduğu dava haklarını elde eder ve zararın tazmin edilmesi amacıyla rizikonun gerçekleşmesine n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e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den olan kişilere </w:t>
            </w:r>
            <w:proofErr w:type="spell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rücû</w:t>
            </w:r>
            <w:proofErr w:type="spell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davası açar. </w:t>
            </w:r>
            <w:proofErr w:type="spell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Halefiyet</w:t>
            </w:r>
            <w:proofErr w:type="spell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ilkesi uygulanır.</w:t>
            </w:r>
          </w:p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Sigorta teminatının konusu para ile ölçülebilen şeylerdir.</w:t>
            </w:r>
          </w:p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Aşkın, eksik, </w:t>
            </w:r>
            <w:proofErr w:type="spell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takseli</w:t>
            </w:r>
            <w:proofErr w:type="spell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, birden çok sigorta hükümleri uygulanır. Zenginleşme yasağı ilkesi vardır.</w:t>
            </w:r>
          </w:p>
        </w:tc>
        <w:tc>
          <w:tcPr>
            <w:tcW w:w="2724" w:type="dxa"/>
            <w:shd w:val="clear" w:color="auto" w:fill="F2F2F2" w:themeFill="background1" w:themeFillShade="F2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CAN SİGORTASI</w:t>
            </w:r>
          </w:p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Sigorta konusunu insanlar oluşturduğundan sigorta bedelinin sigorta değerini aşamayacağına ilişkin kural uygula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n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maz. Çünkü sigorta değeri, insan hayatıdır. İnsan hayatı paha biçilemezdir.  Sigortacı, uğranılan zarardan ziyade kararlaştırılan bedeli öder. Zenginleşme yasağı ilkesi yoktur. Can sigortalarında </w:t>
            </w:r>
            <w:proofErr w:type="spell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halefiyet</w:t>
            </w:r>
            <w:proofErr w:type="spell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ilkesi uygulanmaz.</w:t>
            </w:r>
          </w:p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Birden fazla sigorta yapılması ve birden fazla </w:t>
            </w:r>
            <w:r>
              <w:rPr>
                <w:rFonts w:ascii="Arial" w:hAnsi="Arial" w:cs="Arial"/>
                <w:sz w:val="18"/>
                <w:szCs w:val="18"/>
                <w:lang w:val="tr-TR"/>
              </w:rPr>
              <w:t>sigorta bedeli alınması mümkündür.</w:t>
            </w:r>
          </w:p>
        </w:tc>
      </w:tr>
    </w:tbl>
    <w:p w:rsidR="00F70CAE" w:rsidRDefault="00F70CAE" w:rsidP="00F70CAE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</w:p>
    <w:p w:rsidR="00F70CAE" w:rsidRPr="008B5B16" w:rsidRDefault="00F70CAE" w:rsidP="00F70CAE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</w:p>
    <w:tbl>
      <w:tblPr>
        <w:tblW w:w="5564" w:type="dxa"/>
        <w:tblInd w:w="10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V w:val="thinThickLargeGap" w:sz="24" w:space="0" w:color="auto"/>
        </w:tblBorders>
        <w:tblLook w:val="00A0"/>
      </w:tblPr>
      <w:tblGrid>
        <w:gridCol w:w="5564"/>
      </w:tblGrid>
      <w:tr w:rsidR="00F70CAE" w:rsidRPr="008B5B16" w:rsidTr="00827733">
        <w:trPr>
          <w:trHeight w:val="20"/>
        </w:trPr>
        <w:tc>
          <w:tcPr>
            <w:tcW w:w="5564" w:type="dxa"/>
            <w:shd w:val="clear" w:color="auto" w:fill="D9D9D9" w:themeFill="background1" w:themeFillShade="D9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SORUMLULUK SİGORTASI (Yeni Ticaret Kanunumuzda ilk defa düzenlendi)</w:t>
            </w:r>
          </w:p>
        </w:tc>
      </w:tr>
      <w:tr w:rsidR="00F70CAE" w:rsidRPr="008B5B16" w:rsidTr="00827733">
        <w:trPr>
          <w:trHeight w:val="20"/>
        </w:trPr>
        <w:tc>
          <w:tcPr>
            <w:tcW w:w="5564" w:type="dxa"/>
            <w:shd w:val="clear" w:color="auto" w:fill="F2F2F2" w:themeFill="background1" w:themeFillShade="F2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Sigorta bedeli olarak sigortacının azami sorumluluğu saptanmakta ve bu bedel bir tahmine dayanmaktadır. Zarara neden olan eylem ve işlemleri önceden belirlemek mümkün değildir. Sigortalının </w:t>
            </w:r>
            <w:proofErr w:type="spell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kasden</w:t>
            </w:r>
            <w:proofErr w:type="spell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verdiği zararlar teminat dışıdır. Ağır kusurlu hallerde ve bazen kusursuz hallerde dahi teminat verilebilmektedir.</w:t>
            </w:r>
          </w:p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Zarar görenlerin maruz kaldığı zararların hesaplanmasında, mal sigortalarında olan eksik veya aşkın sigorta uygulamaları yoktur.  Sigortacının sorumluluk limiti, sigorta süresi içindeki her olay için farklıdır.</w:t>
            </w:r>
          </w:p>
        </w:tc>
      </w:tr>
    </w:tbl>
    <w:p w:rsidR="00F70CAE" w:rsidRDefault="00F70CAE" w:rsidP="00F70CAE">
      <w:pPr>
        <w:spacing w:before="120"/>
        <w:ind w:left="3540" w:firstLine="567"/>
        <w:jc w:val="both"/>
        <w:rPr>
          <w:rFonts w:ascii="Arial" w:hAnsi="Arial" w:cs="Arial"/>
          <w:sz w:val="18"/>
          <w:szCs w:val="18"/>
          <w:lang w:val="tr-TR"/>
        </w:rPr>
      </w:pPr>
    </w:p>
    <w:tbl>
      <w:tblPr>
        <w:tblW w:w="5564" w:type="dxa"/>
        <w:tblInd w:w="10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000000"/>
          <w:insideV w:val="single" w:sz="4" w:space="0" w:color="000000"/>
        </w:tblBorders>
        <w:tblLook w:val="00A0"/>
      </w:tblPr>
      <w:tblGrid>
        <w:gridCol w:w="2843"/>
        <w:gridCol w:w="2721"/>
      </w:tblGrid>
      <w:tr w:rsidR="00F70CAE" w:rsidRPr="008B5B16" w:rsidTr="00827733">
        <w:trPr>
          <w:trHeight w:val="20"/>
        </w:trPr>
        <w:tc>
          <w:tcPr>
            <w:tcW w:w="2843" w:type="dxa"/>
            <w:shd w:val="clear" w:color="auto" w:fill="D9D9D9" w:themeFill="background1" w:themeFillShade="D9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ZARAR SİGORTASI</w:t>
            </w:r>
          </w:p>
        </w:tc>
        <w:tc>
          <w:tcPr>
            <w:tcW w:w="2721" w:type="dxa"/>
            <w:shd w:val="clear" w:color="auto" w:fill="D9D9D9" w:themeFill="background1" w:themeFillShade="D9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MEBLAĞ SİGORTASI</w:t>
            </w:r>
          </w:p>
        </w:tc>
      </w:tr>
      <w:tr w:rsidR="00F70CAE" w:rsidRPr="008B5B16" w:rsidTr="00827733">
        <w:trPr>
          <w:trHeight w:val="20"/>
        </w:trPr>
        <w:tc>
          <w:tcPr>
            <w:tcW w:w="2843" w:type="dxa"/>
            <w:shd w:val="clear" w:color="auto" w:fill="F2F2F2" w:themeFill="background1" w:themeFillShade="F2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Teminat altına alınan risk gerçekleşince sigortacı tazminat öder. </w:t>
            </w:r>
            <w:proofErr w:type="gram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Fakat,</w:t>
            </w:r>
            <w:proofErr w:type="gram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Sigortacının 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lastRenderedPageBreak/>
              <w:t>tazminat ödeme yükümlüğünün doğabilmesi için rizikonun gerçekle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ş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mesi yetmez, aynı zamanda sigorta konusu menfaatin bir zarara uğramış olması gerekir.</w:t>
            </w:r>
          </w:p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i/>
                <w:iCs/>
                <w:sz w:val="18"/>
                <w:szCs w:val="18"/>
                <w:lang w:val="tr-TR"/>
              </w:rPr>
              <w:t>Zenginleme yasağı prensibi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kabul edilmiştir. Böylece, sigorta ettirenin fiilen uğradığı zarardan daha fazla tazminat elde etm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e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sinin önüne geçilmiştir. Eksik, aşkın, </w:t>
            </w:r>
            <w:proofErr w:type="spell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takseli</w:t>
            </w:r>
            <w:proofErr w:type="spell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sigorta hükümleri uygulanır. Ayrıca birden çok sigorta hükümleri de uygulanır (Çifte, kısmi, müşterek sigorta).</w:t>
            </w:r>
          </w:p>
        </w:tc>
        <w:tc>
          <w:tcPr>
            <w:tcW w:w="2721" w:type="dxa"/>
            <w:shd w:val="clear" w:color="auto" w:fill="F2F2F2" w:themeFill="background1" w:themeFillShade="F2"/>
          </w:tcPr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lastRenderedPageBreak/>
              <w:t xml:space="preserve">Bir zararla bağlı olmaksızın, sigortacı sözleşmede öngörülen parayı rizikonun 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lastRenderedPageBreak/>
              <w:t>gerçe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k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leşmesi üzerine hak sahibine öder. Rizikonun mutlaka bir zarara neden olması aranmaz. Örneğin; yaşama ihtimaline karşı yapılan sigortalarda zarar doğmaz ve verilen tarihte k</w:t>
            </w:r>
            <w:r>
              <w:rPr>
                <w:rFonts w:ascii="Arial" w:hAnsi="Arial" w:cs="Arial"/>
                <w:sz w:val="18"/>
                <w:szCs w:val="18"/>
                <w:lang w:val="tr-TR"/>
              </w:rPr>
              <w:t xml:space="preserve">işi yaşarsa risk gerçekleşir. </w:t>
            </w:r>
          </w:p>
          <w:p w:rsidR="00F70CAE" w:rsidRPr="008B5B16" w:rsidRDefault="00F70CAE" w:rsidP="0082773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Zenginleşme yasağı ilkesi ve </w:t>
            </w:r>
            <w:proofErr w:type="spell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halefiyet</w:t>
            </w:r>
            <w:proofErr w:type="spell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ilkesi yoktur. Eksik, aşkın, </w:t>
            </w:r>
            <w:proofErr w:type="spellStart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takseli</w:t>
            </w:r>
            <w:proofErr w:type="spellEnd"/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 xml:space="preserve"> sigorta hükümleri uygulanamaz. Ayrıca birden çok sigorta (Çifte, kısmi, müşterek sigorta) hükümleri uyg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u</w:t>
            </w:r>
            <w:r w:rsidRPr="008B5B16">
              <w:rPr>
                <w:rFonts w:ascii="Arial" w:hAnsi="Arial" w:cs="Arial"/>
                <w:sz w:val="18"/>
                <w:szCs w:val="18"/>
                <w:lang w:val="tr-TR"/>
              </w:rPr>
              <w:t>lanmaz.</w:t>
            </w:r>
          </w:p>
        </w:tc>
      </w:tr>
    </w:tbl>
    <w:p w:rsidR="00F70CAE" w:rsidRDefault="00F70CAE" w:rsidP="00F70CAE">
      <w:pPr>
        <w:tabs>
          <w:tab w:val="left" w:pos="567"/>
        </w:tabs>
        <w:spacing w:before="240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</w:p>
    <w:p w:rsidR="00CD11B6" w:rsidRDefault="00CD11B6"/>
    <w:sectPr w:rsidR="00CD11B6" w:rsidSect="00CD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F70CAE"/>
    <w:rsid w:val="00CD11B6"/>
    <w:rsid w:val="00F7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C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70CAE"/>
    <w:pPr>
      <w:ind w:left="720"/>
    </w:pPr>
    <w:rPr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2017-12-28T09:25:00Z</dcterms:created>
  <dcterms:modified xsi:type="dcterms:W3CDTF">2017-12-28T09:25:00Z</dcterms:modified>
</cp:coreProperties>
</file>