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657" w:rsidRDefault="00DC7657" w:rsidP="00DC7657">
      <w:pPr>
        <w:jc w:val="both"/>
        <w:rPr>
          <w:b/>
          <w:i/>
          <w:sz w:val="32"/>
          <w:szCs w:val="32"/>
        </w:rPr>
      </w:pPr>
      <w:r w:rsidRPr="0021127F">
        <w:rPr>
          <w:b/>
          <w:i/>
          <w:sz w:val="32"/>
          <w:szCs w:val="32"/>
        </w:rPr>
        <w:t xml:space="preserve">Fizyolojik Ekoloji </w:t>
      </w:r>
    </w:p>
    <w:p w:rsidR="00DC7657" w:rsidRDefault="00DC7657" w:rsidP="00DC7657">
      <w:pPr>
        <w:jc w:val="both"/>
        <w:rPr>
          <w:b/>
          <w:i/>
          <w:sz w:val="32"/>
          <w:szCs w:val="32"/>
        </w:rPr>
      </w:pPr>
    </w:p>
    <w:p w:rsidR="00DC7657" w:rsidRDefault="00DC7657" w:rsidP="00DC7657">
      <w:pPr>
        <w:jc w:val="both"/>
        <w:rPr>
          <w:sz w:val="28"/>
          <w:szCs w:val="28"/>
        </w:rPr>
      </w:pPr>
      <w:r>
        <w:rPr>
          <w:b/>
          <w:i/>
          <w:sz w:val="32"/>
          <w:szCs w:val="32"/>
        </w:rPr>
        <w:tab/>
      </w:r>
      <w:r>
        <w:rPr>
          <w:sz w:val="28"/>
          <w:szCs w:val="28"/>
        </w:rPr>
        <w:t xml:space="preserve">Hayvan paraziti ya da </w:t>
      </w:r>
      <w:r w:rsidRPr="0021127F">
        <w:rPr>
          <w:i/>
          <w:sz w:val="28"/>
          <w:szCs w:val="28"/>
        </w:rPr>
        <w:t xml:space="preserve">C. </w:t>
      </w:r>
      <w:proofErr w:type="spellStart"/>
      <w:r w:rsidRPr="0021127F">
        <w:rPr>
          <w:i/>
          <w:sz w:val="28"/>
          <w:szCs w:val="28"/>
        </w:rPr>
        <w:t>elegans</w:t>
      </w:r>
      <w:proofErr w:type="spellEnd"/>
      <w:r>
        <w:rPr>
          <w:sz w:val="28"/>
          <w:szCs w:val="28"/>
        </w:rPr>
        <w:t xml:space="preserve"> ile karşılaştırıldığında, bitki paraziti </w:t>
      </w:r>
      <w:proofErr w:type="spellStart"/>
      <w:r>
        <w:rPr>
          <w:sz w:val="28"/>
          <w:szCs w:val="28"/>
        </w:rPr>
        <w:t>nematodlardaki</w:t>
      </w:r>
      <w:proofErr w:type="spellEnd"/>
      <w:r>
        <w:rPr>
          <w:sz w:val="28"/>
          <w:szCs w:val="28"/>
        </w:rPr>
        <w:t xml:space="preserve"> su ve iyon dengesi hakkında az şey bilinmektedir. Bu konuda elde edilen bilgiler hemen hemen tamamen serbest yaşayan toprak </w:t>
      </w:r>
      <w:proofErr w:type="spellStart"/>
      <w:r>
        <w:rPr>
          <w:sz w:val="28"/>
          <w:szCs w:val="28"/>
        </w:rPr>
        <w:t>nematodlarına</w:t>
      </w:r>
      <w:proofErr w:type="spellEnd"/>
      <w:r>
        <w:rPr>
          <w:sz w:val="28"/>
          <w:szCs w:val="28"/>
        </w:rPr>
        <w:t xml:space="preserve"> aittir. </w:t>
      </w:r>
      <w:proofErr w:type="spellStart"/>
      <w:r w:rsidRPr="00321C23">
        <w:rPr>
          <w:i/>
          <w:sz w:val="28"/>
          <w:szCs w:val="28"/>
        </w:rPr>
        <w:t>H.schachtii</w:t>
      </w:r>
      <w:proofErr w:type="spellEnd"/>
      <w:r>
        <w:rPr>
          <w:sz w:val="28"/>
          <w:szCs w:val="28"/>
        </w:rPr>
        <w:t xml:space="preserve"> ve </w:t>
      </w:r>
      <w:r w:rsidRPr="00321C23">
        <w:rPr>
          <w:i/>
          <w:sz w:val="28"/>
          <w:szCs w:val="28"/>
        </w:rPr>
        <w:t xml:space="preserve">G. </w:t>
      </w:r>
      <w:proofErr w:type="spellStart"/>
      <w:r w:rsidRPr="00321C23">
        <w:rPr>
          <w:i/>
          <w:sz w:val="28"/>
          <w:szCs w:val="28"/>
        </w:rPr>
        <w:t>rostochiensis</w:t>
      </w:r>
      <w:proofErr w:type="spellEnd"/>
      <w:r>
        <w:rPr>
          <w:sz w:val="28"/>
          <w:szCs w:val="28"/>
        </w:rPr>
        <w:t xml:space="preserve"> gibi bitki paraziti </w:t>
      </w:r>
      <w:proofErr w:type="spellStart"/>
      <w:r>
        <w:rPr>
          <w:sz w:val="28"/>
          <w:szCs w:val="28"/>
        </w:rPr>
        <w:t>nematodların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enfektif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juvenillerine</w:t>
      </w:r>
      <w:proofErr w:type="spellEnd"/>
      <w:r>
        <w:rPr>
          <w:sz w:val="28"/>
          <w:szCs w:val="28"/>
        </w:rPr>
        <w:t xml:space="preserve"> ait çalışmalar ise </w:t>
      </w:r>
      <w:proofErr w:type="spellStart"/>
      <w:r>
        <w:rPr>
          <w:sz w:val="28"/>
          <w:szCs w:val="28"/>
        </w:rPr>
        <w:t>hiper-osmotik</w:t>
      </w:r>
      <w:proofErr w:type="spellEnd"/>
      <w:r>
        <w:rPr>
          <w:sz w:val="28"/>
          <w:szCs w:val="28"/>
        </w:rPr>
        <w:t xml:space="preserve"> düzenleyiciler konusunda umut vericidir. Fakat </w:t>
      </w:r>
      <w:proofErr w:type="spellStart"/>
      <w:r>
        <w:rPr>
          <w:sz w:val="28"/>
          <w:szCs w:val="28"/>
        </w:rPr>
        <w:t>hipo-osmotik</w:t>
      </w:r>
      <w:proofErr w:type="spellEnd"/>
      <w:r>
        <w:rPr>
          <w:sz w:val="28"/>
          <w:szCs w:val="28"/>
        </w:rPr>
        <w:t xml:space="preserve"> düzenleyiciler konusunda henüz yetersizdir. Bitki paraziti </w:t>
      </w:r>
      <w:proofErr w:type="spellStart"/>
      <w:r>
        <w:rPr>
          <w:sz w:val="28"/>
          <w:szCs w:val="28"/>
        </w:rPr>
        <w:t>nematodların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enfektif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juvenillerinin</w:t>
      </w:r>
      <w:proofErr w:type="spellEnd"/>
      <w:r>
        <w:rPr>
          <w:sz w:val="28"/>
          <w:szCs w:val="28"/>
        </w:rPr>
        <w:t xml:space="preserve"> hareket kabiliyeti toprak </w:t>
      </w:r>
      <w:proofErr w:type="gramStart"/>
      <w:r>
        <w:rPr>
          <w:sz w:val="28"/>
          <w:szCs w:val="28"/>
        </w:rPr>
        <w:t>partiküllerindeki</w:t>
      </w:r>
      <w:proofErr w:type="gramEnd"/>
      <w:r>
        <w:rPr>
          <w:sz w:val="28"/>
          <w:szCs w:val="28"/>
        </w:rPr>
        <w:t xml:space="preserve"> ince su tabakası sayesinde kolaylaşır ve bu aktif olarak bitkileri </w:t>
      </w:r>
      <w:proofErr w:type="spellStart"/>
      <w:r>
        <w:rPr>
          <w:sz w:val="28"/>
          <w:szCs w:val="28"/>
        </w:rPr>
        <w:t>enfekte</w:t>
      </w:r>
      <w:proofErr w:type="spellEnd"/>
      <w:r>
        <w:rPr>
          <w:sz w:val="28"/>
          <w:szCs w:val="28"/>
        </w:rPr>
        <w:t xml:space="preserve"> etmede etken olmaktadır. Buharlaşmanın fazla olduğu tarım topraklarında özellikle toprağın üst katmanlarındaki katı yoğunluk artarak toprağın tuzluluğunun artmasına neden olur. Toprakta </w:t>
      </w:r>
      <w:proofErr w:type="spellStart"/>
      <w:r>
        <w:rPr>
          <w:sz w:val="28"/>
          <w:szCs w:val="28"/>
        </w:rPr>
        <w:t>nematod</w:t>
      </w:r>
      <w:proofErr w:type="spellEnd"/>
      <w:r>
        <w:rPr>
          <w:sz w:val="28"/>
          <w:szCs w:val="28"/>
        </w:rPr>
        <w:t xml:space="preserve"> hareketinde önemli bir unsurda </w:t>
      </w:r>
      <w:proofErr w:type="spellStart"/>
      <w:r>
        <w:rPr>
          <w:sz w:val="28"/>
          <w:szCs w:val="28"/>
        </w:rPr>
        <w:t>matrik</w:t>
      </w:r>
      <w:proofErr w:type="spellEnd"/>
      <w:r>
        <w:rPr>
          <w:sz w:val="28"/>
          <w:szCs w:val="28"/>
        </w:rPr>
        <w:t xml:space="preserve"> potansiyeldir. </w:t>
      </w:r>
      <w:proofErr w:type="spellStart"/>
      <w:r>
        <w:rPr>
          <w:sz w:val="28"/>
          <w:szCs w:val="28"/>
        </w:rPr>
        <w:t>Matrik</w:t>
      </w:r>
      <w:proofErr w:type="spellEnd"/>
      <w:r>
        <w:rPr>
          <w:sz w:val="28"/>
          <w:szCs w:val="28"/>
        </w:rPr>
        <w:t xml:space="preserve"> potansiyel bitki-su ilişkisi için çok önemli bir faktör olarak tanımlanmaktadır. Bu </w:t>
      </w:r>
      <w:proofErr w:type="gramStart"/>
      <w:r>
        <w:rPr>
          <w:sz w:val="28"/>
          <w:szCs w:val="28"/>
        </w:rPr>
        <w:t>kriter</w:t>
      </w:r>
      <w:proofErr w:type="gramEnd"/>
      <w:r>
        <w:rPr>
          <w:sz w:val="28"/>
          <w:szCs w:val="28"/>
        </w:rPr>
        <w:t xml:space="preserve"> topraktaki </w:t>
      </w:r>
      <w:proofErr w:type="spellStart"/>
      <w:r>
        <w:rPr>
          <w:sz w:val="28"/>
          <w:szCs w:val="28"/>
        </w:rPr>
        <w:t>nematod</w:t>
      </w:r>
      <w:proofErr w:type="spellEnd"/>
      <w:r>
        <w:rPr>
          <w:sz w:val="28"/>
          <w:szCs w:val="28"/>
        </w:rPr>
        <w:t xml:space="preserve"> hareketinin bir göstergesi olarak da önem taşımaktadır. Topraktaki ozmos ve iyon dengesi bitki paraziti </w:t>
      </w:r>
      <w:proofErr w:type="spellStart"/>
      <w:r>
        <w:rPr>
          <w:sz w:val="28"/>
          <w:szCs w:val="28"/>
        </w:rPr>
        <w:t>nematodların</w:t>
      </w:r>
      <w:proofErr w:type="spellEnd"/>
      <w:r>
        <w:rPr>
          <w:sz w:val="28"/>
          <w:szCs w:val="28"/>
        </w:rPr>
        <w:t xml:space="preserve"> beslenmesi ve üremesi için çok önemlidir. Özellikle </w:t>
      </w:r>
      <w:proofErr w:type="spellStart"/>
      <w:r w:rsidRPr="00F64375">
        <w:rPr>
          <w:i/>
          <w:sz w:val="28"/>
          <w:szCs w:val="28"/>
        </w:rPr>
        <w:t>Heterodera</w:t>
      </w:r>
      <w:proofErr w:type="spellEnd"/>
      <w:r w:rsidRPr="00F64375">
        <w:rPr>
          <w:i/>
          <w:sz w:val="28"/>
          <w:szCs w:val="28"/>
        </w:rPr>
        <w:t xml:space="preserve">, </w:t>
      </w:r>
      <w:proofErr w:type="spellStart"/>
      <w:r w:rsidRPr="00F64375">
        <w:rPr>
          <w:i/>
          <w:sz w:val="28"/>
          <w:szCs w:val="28"/>
        </w:rPr>
        <w:t>Meloidogyne</w:t>
      </w:r>
      <w:proofErr w:type="spellEnd"/>
      <w:r>
        <w:rPr>
          <w:sz w:val="28"/>
          <w:szCs w:val="28"/>
        </w:rPr>
        <w:t xml:space="preserve"> ve </w:t>
      </w:r>
      <w:proofErr w:type="spellStart"/>
      <w:r w:rsidRPr="00F64375">
        <w:rPr>
          <w:i/>
          <w:sz w:val="28"/>
          <w:szCs w:val="28"/>
        </w:rPr>
        <w:t>Globodera</w:t>
      </w:r>
      <w:proofErr w:type="spellEnd"/>
      <w:r>
        <w:rPr>
          <w:sz w:val="28"/>
          <w:szCs w:val="28"/>
        </w:rPr>
        <w:t xml:space="preserve"> cinslerine ait türlerin yerleşik </w:t>
      </w:r>
      <w:proofErr w:type="spellStart"/>
      <w:r>
        <w:rPr>
          <w:sz w:val="28"/>
          <w:szCs w:val="28"/>
        </w:rPr>
        <w:t>juvenilleri</w:t>
      </w:r>
      <w:proofErr w:type="spellEnd"/>
      <w:r>
        <w:rPr>
          <w:sz w:val="28"/>
          <w:szCs w:val="28"/>
        </w:rPr>
        <w:t xml:space="preserve"> ve yetişkin dişilerinin özellikle beslenme ve üremesinde oldukça önemlidir. </w:t>
      </w:r>
    </w:p>
    <w:p w:rsidR="00DC7657" w:rsidRDefault="00DC7657" w:rsidP="00DC7657">
      <w:pPr>
        <w:jc w:val="both"/>
        <w:rPr>
          <w:sz w:val="28"/>
          <w:szCs w:val="28"/>
        </w:rPr>
      </w:pPr>
    </w:p>
    <w:p w:rsidR="00DC7657" w:rsidRDefault="00DC7657" w:rsidP="00DC76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M. </w:t>
      </w:r>
      <w:proofErr w:type="spellStart"/>
      <w:r>
        <w:rPr>
          <w:sz w:val="28"/>
          <w:szCs w:val="28"/>
        </w:rPr>
        <w:t>javanica</w:t>
      </w:r>
      <w:proofErr w:type="spellEnd"/>
      <w:r>
        <w:rPr>
          <w:sz w:val="28"/>
          <w:szCs w:val="28"/>
        </w:rPr>
        <w:t xml:space="preserve"> ikinci devre </w:t>
      </w:r>
      <w:proofErr w:type="spellStart"/>
      <w:r>
        <w:rPr>
          <w:sz w:val="28"/>
          <w:szCs w:val="28"/>
        </w:rPr>
        <w:t>juvenilleri</w:t>
      </w:r>
      <w:proofErr w:type="spellEnd"/>
      <w:r>
        <w:rPr>
          <w:sz w:val="28"/>
          <w:szCs w:val="28"/>
        </w:rPr>
        <w:t xml:space="preserve"> (J2) yüksek tuzluluk gösteren bölgelerden kaçarlar. Özellikle amonyum tuzları ve </w:t>
      </w:r>
      <w:proofErr w:type="spellStart"/>
      <w:r>
        <w:rPr>
          <w:sz w:val="28"/>
          <w:szCs w:val="28"/>
        </w:rPr>
        <w:t>klorid</w:t>
      </w:r>
      <w:proofErr w:type="spellEnd"/>
      <w:r>
        <w:rPr>
          <w:sz w:val="28"/>
          <w:szCs w:val="28"/>
        </w:rPr>
        <w:t xml:space="preserve"> tuzları </w:t>
      </w:r>
      <w:proofErr w:type="spellStart"/>
      <w:r>
        <w:rPr>
          <w:sz w:val="28"/>
          <w:szCs w:val="28"/>
        </w:rPr>
        <w:t>nematodları</w:t>
      </w:r>
      <w:proofErr w:type="spellEnd"/>
      <w:r>
        <w:rPr>
          <w:sz w:val="28"/>
          <w:szCs w:val="28"/>
        </w:rPr>
        <w:t xml:space="preserve"> uzaklaştırıcı etki yaparlar. </w:t>
      </w:r>
      <w:proofErr w:type="spellStart"/>
      <w:r>
        <w:rPr>
          <w:sz w:val="28"/>
          <w:szCs w:val="28"/>
        </w:rPr>
        <w:t>Kemotaktik</w:t>
      </w:r>
      <w:proofErr w:type="spellEnd"/>
      <w:r>
        <w:rPr>
          <w:sz w:val="28"/>
          <w:szCs w:val="28"/>
        </w:rPr>
        <w:t xml:space="preserve"> cevaplardaki farklılıklar, </w:t>
      </w:r>
      <w:proofErr w:type="spellStart"/>
      <w:r>
        <w:rPr>
          <w:sz w:val="28"/>
          <w:szCs w:val="28"/>
        </w:rPr>
        <w:t>nematodların</w:t>
      </w:r>
      <w:proofErr w:type="spellEnd"/>
      <w:r>
        <w:rPr>
          <w:sz w:val="28"/>
          <w:szCs w:val="28"/>
        </w:rPr>
        <w:t xml:space="preserve"> topraktaki dağılımı ve davranışı ile ilgilidir. Bunun ise özellikle topraktaki iyon </w:t>
      </w:r>
      <w:proofErr w:type="gramStart"/>
      <w:r>
        <w:rPr>
          <w:sz w:val="28"/>
          <w:szCs w:val="28"/>
        </w:rPr>
        <w:t>konsantrasyonu</w:t>
      </w:r>
      <w:proofErr w:type="gramEnd"/>
      <w:r>
        <w:rPr>
          <w:sz w:val="28"/>
          <w:szCs w:val="28"/>
        </w:rPr>
        <w:t xml:space="preserve"> ile ilgili olduğu gösterilmiştir. </w:t>
      </w:r>
      <w:proofErr w:type="spellStart"/>
      <w:r>
        <w:rPr>
          <w:sz w:val="28"/>
          <w:szCs w:val="28"/>
        </w:rPr>
        <w:t>Nemtodlardaki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amphid</w:t>
      </w:r>
      <w:proofErr w:type="spellEnd"/>
      <w:r>
        <w:rPr>
          <w:sz w:val="28"/>
          <w:szCs w:val="28"/>
        </w:rPr>
        <w:t xml:space="preserve"> ve </w:t>
      </w:r>
      <w:proofErr w:type="spellStart"/>
      <w:r>
        <w:rPr>
          <w:sz w:val="28"/>
          <w:szCs w:val="28"/>
        </w:rPr>
        <w:t>phasmid</w:t>
      </w:r>
      <w:proofErr w:type="spellEnd"/>
      <w:r>
        <w:rPr>
          <w:sz w:val="28"/>
          <w:szCs w:val="28"/>
        </w:rPr>
        <w:t xml:space="preserve"> yapılarının </w:t>
      </w:r>
      <w:proofErr w:type="spellStart"/>
      <w:r>
        <w:rPr>
          <w:sz w:val="28"/>
          <w:szCs w:val="28"/>
        </w:rPr>
        <w:t>kemosensor</w:t>
      </w:r>
      <w:proofErr w:type="spellEnd"/>
      <w:r>
        <w:rPr>
          <w:sz w:val="28"/>
          <w:szCs w:val="28"/>
        </w:rPr>
        <w:t xml:space="preserve"> (kimyasal maddelere hassas) fonksiyonlara sahip olduğu bilinmektedir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Şekil. 28 ve 29a-b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. Örneğin </w:t>
      </w:r>
      <w:r w:rsidRPr="00872BA7">
        <w:rPr>
          <w:i/>
          <w:sz w:val="28"/>
          <w:szCs w:val="28"/>
        </w:rPr>
        <w:t xml:space="preserve">C. </w:t>
      </w:r>
      <w:proofErr w:type="spellStart"/>
      <w:r w:rsidRPr="00872BA7">
        <w:rPr>
          <w:i/>
          <w:sz w:val="28"/>
          <w:szCs w:val="28"/>
        </w:rPr>
        <w:t>elegans</w:t>
      </w:r>
      <w:r>
        <w:rPr>
          <w:sz w:val="28"/>
          <w:szCs w:val="28"/>
        </w:rPr>
        <w:t>’daki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osmotik</w:t>
      </w:r>
      <w:proofErr w:type="spellEnd"/>
      <w:r>
        <w:rPr>
          <w:sz w:val="28"/>
          <w:szCs w:val="28"/>
        </w:rPr>
        <w:t xml:space="preserve"> davranışın bunlarla ilgili olduğu saptanmıştır. Bu yapıların diğer türlerde de benzer rol oynadığı ise şüphe götürmezdir. </w:t>
      </w:r>
    </w:p>
    <w:p w:rsidR="00DC7657" w:rsidRDefault="00DC7657" w:rsidP="00DC7657">
      <w:pPr>
        <w:jc w:val="both"/>
        <w:rPr>
          <w:sz w:val="28"/>
          <w:szCs w:val="28"/>
        </w:rPr>
      </w:pPr>
    </w:p>
    <w:p w:rsidR="00DC7657" w:rsidRDefault="00DC7657" w:rsidP="00DC765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30170" cy="19653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57" w:rsidRDefault="00DC7657" w:rsidP="00DC7657">
      <w:pPr>
        <w:jc w:val="center"/>
        <w:rPr>
          <w:sz w:val="28"/>
          <w:szCs w:val="28"/>
        </w:rPr>
      </w:pPr>
    </w:p>
    <w:p w:rsidR="00DC7657" w:rsidRPr="00667DC3" w:rsidRDefault="00DC7657" w:rsidP="00DC7657">
      <w:pPr>
        <w:jc w:val="center"/>
      </w:pPr>
      <w:r w:rsidRPr="00667DC3">
        <w:t>Şekil.</w:t>
      </w:r>
      <w:r>
        <w:t xml:space="preserve"> 28</w:t>
      </w:r>
      <w:r w:rsidRPr="00667DC3">
        <w:t xml:space="preserve"> </w:t>
      </w:r>
      <w:proofErr w:type="spellStart"/>
      <w:r w:rsidRPr="00667DC3">
        <w:t>Phasmid</w:t>
      </w:r>
      <w:proofErr w:type="spellEnd"/>
      <w:r w:rsidRPr="00667DC3">
        <w:t xml:space="preserve"> kanalı ve bezi</w:t>
      </w:r>
    </w:p>
    <w:p w:rsidR="00DC7657" w:rsidRDefault="00DC7657" w:rsidP="00DC765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759450" cy="2493645"/>
            <wp:effectExtent l="0" t="0" r="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57" w:rsidRDefault="00DC7657" w:rsidP="00DC7657">
      <w:pPr>
        <w:jc w:val="center"/>
      </w:pPr>
    </w:p>
    <w:p w:rsidR="00DC7657" w:rsidRPr="00745D11" w:rsidRDefault="00DC7657" w:rsidP="00DC7657">
      <w:pPr>
        <w:jc w:val="center"/>
      </w:pPr>
      <w:r>
        <w:t>Şekil.29a</w:t>
      </w:r>
      <w:r w:rsidRPr="00745D11">
        <w:t xml:space="preserve"> </w:t>
      </w:r>
      <w:proofErr w:type="spellStart"/>
      <w:r w:rsidRPr="00745D11">
        <w:t>Phasmid</w:t>
      </w:r>
      <w:r>
        <w:t>ler</w:t>
      </w:r>
      <w:proofErr w:type="spellEnd"/>
    </w:p>
    <w:p w:rsidR="00DC7657" w:rsidRDefault="00DC7657" w:rsidP="00DC7657">
      <w:pPr>
        <w:jc w:val="both"/>
        <w:rPr>
          <w:sz w:val="28"/>
          <w:szCs w:val="28"/>
        </w:rPr>
      </w:pPr>
    </w:p>
    <w:p w:rsidR="00DC7657" w:rsidRDefault="00DC7657" w:rsidP="00DC7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7657" w:rsidRDefault="00DC7657" w:rsidP="00DC7657">
      <w:pPr>
        <w:jc w:val="both"/>
        <w:rPr>
          <w:sz w:val="28"/>
          <w:szCs w:val="28"/>
        </w:rPr>
      </w:pPr>
    </w:p>
    <w:p w:rsidR="00DC7657" w:rsidRPr="00D66CB4" w:rsidRDefault="00DC7657" w:rsidP="00DC7657">
      <w:pPr>
        <w:jc w:val="both"/>
        <w:rPr>
          <w:b/>
          <w:i/>
          <w:sz w:val="22"/>
          <w:szCs w:val="22"/>
        </w:rPr>
      </w:pPr>
      <w:r>
        <w:rPr>
          <w:sz w:val="28"/>
          <w:szCs w:val="28"/>
        </w:rPr>
        <w:tab/>
      </w:r>
      <w:r w:rsidRPr="00D66CB4">
        <w:rPr>
          <w:b/>
          <w:i/>
          <w:sz w:val="22"/>
          <w:szCs w:val="22"/>
        </w:rPr>
        <w:t>Özet: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Boşaltım organı </w:t>
      </w:r>
      <w:proofErr w:type="spellStart"/>
      <w:r>
        <w:rPr>
          <w:sz w:val="22"/>
          <w:szCs w:val="22"/>
        </w:rPr>
        <w:t>subkütikulanın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lateral</w:t>
      </w:r>
      <w:proofErr w:type="spellEnd"/>
      <w:r>
        <w:rPr>
          <w:sz w:val="22"/>
          <w:szCs w:val="22"/>
        </w:rPr>
        <w:t xml:space="preserve"> çıkıntıları içinde arkadan öne doğru uzanan iki kanaldan ibarettir. Bu iki kanal hayvanın ön tarafında </w:t>
      </w:r>
      <w:proofErr w:type="spellStart"/>
      <w:r>
        <w:rPr>
          <w:sz w:val="22"/>
          <w:szCs w:val="22"/>
        </w:rPr>
        <w:t>birleştikden</w:t>
      </w:r>
      <w:proofErr w:type="spellEnd"/>
      <w:r>
        <w:rPr>
          <w:sz w:val="22"/>
          <w:szCs w:val="22"/>
        </w:rPr>
        <w:t xml:space="preserve"> sonra ağzın biraz gerisinde </w:t>
      </w:r>
      <w:proofErr w:type="spellStart"/>
      <w:r>
        <w:rPr>
          <w:sz w:val="22"/>
          <w:szCs w:val="22"/>
        </w:rPr>
        <w:t>ventralden</w:t>
      </w:r>
      <w:proofErr w:type="spellEnd"/>
      <w:r>
        <w:rPr>
          <w:sz w:val="22"/>
          <w:szCs w:val="22"/>
        </w:rPr>
        <w:t xml:space="preserve"> dışarıya açılır. </w:t>
      </w:r>
      <w:proofErr w:type="spellStart"/>
      <w:r>
        <w:rPr>
          <w:sz w:val="22"/>
          <w:szCs w:val="22"/>
        </w:rPr>
        <w:t>Lateraldeki</w:t>
      </w:r>
      <w:proofErr w:type="spellEnd"/>
      <w:r>
        <w:rPr>
          <w:sz w:val="22"/>
          <w:szCs w:val="22"/>
        </w:rPr>
        <w:t xml:space="preserve"> kanallar bir, ortak kanal iki, yani bütün boşaltım sistemi üç hücreden oluşmuştur.</w:t>
      </w:r>
      <w:r w:rsidRPr="00D66CB4">
        <w:rPr>
          <w:b/>
          <w:i/>
          <w:sz w:val="22"/>
          <w:szCs w:val="22"/>
        </w:rPr>
        <w:t xml:space="preserve">             </w:t>
      </w:r>
    </w:p>
    <w:p w:rsidR="009E31A1" w:rsidRDefault="009E31A1">
      <w:bookmarkStart w:id="0" w:name="_GoBack"/>
      <w:bookmarkEnd w:id="0"/>
    </w:p>
    <w:sectPr w:rsidR="009E3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57"/>
    <w:rsid w:val="009E31A1"/>
    <w:rsid w:val="00D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097AC-40C7-411C-B884-014E107C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Company>SilentAll Team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MKARAKAS</dc:creator>
  <cp:keywords/>
  <dc:description/>
  <cp:lastModifiedBy>MKARAKAS</cp:lastModifiedBy>
  <cp:revision>1</cp:revision>
  <dcterms:created xsi:type="dcterms:W3CDTF">2018-01-04T09:39:00Z</dcterms:created>
  <dcterms:modified xsi:type="dcterms:W3CDTF">2018-01-04T09:39:00Z</dcterms:modified>
</cp:coreProperties>
</file>