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2D" w:rsidRPr="00F258C6" w:rsidRDefault="00DD5B2D" w:rsidP="00DD5B2D">
      <w:pPr>
        <w:spacing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F258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Mücadele metotları</w:t>
      </w:r>
    </w:p>
    <w:p w:rsidR="00DD5B2D" w:rsidRPr="00DD5B2D" w:rsidRDefault="00DD5B2D" w:rsidP="00DD5B2D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b/>
          <w:bCs/>
          <w:color w:val="000000" w:themeColor="text1"/>
          <w:kern w:val="24"/>
        </w:rPr>
        <w:t>1. Kültürel önlemler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Bulaşık bitki artıklarının tarlada bırakılmaması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Temiz fide, fidan ve tohum kullanılması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Nadas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Nöbetleşe ekim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Geç ekim-erken hasat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proofErr w:type="spellStart"/>
      <w:r w:rsidRPr="00DD5B2D">
        <w:rPr>
          <w:rFonts w:eastAsiaTheme="minorEastAsia"/>
          <w:color w:val="000000" w:themeColor="text1"/>
          <w:kern w:val="24"/>
        </w:rPr>
        <w:t>Nematoda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dirençli fidan ya da fide kullanımı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Temiz sulama suyu kullanımı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Toprak işleme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proofErr w:type="spellStart"/>
      <w:r w:rsidRPr="00DD5B2D">
        <w:rPr>
          <w:rFonts w:eastAsiaTheme="minorEastAsia"/>
          <w:color w:val="000000" w:themeColor="text1"/>
          <w:kern w:val="24"/>
        </w:rPr>
        <w:t>Solarizasyon</w:t>
      </w:r>
      <w:proofErr w:type="spellEnd"/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Temiz toprak işleme ve aletlerinin kullanımı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Sera girişlerinde sönmemiş kireç kullanımı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Uygun depolama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Organik gübreleme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b/>
          <w:bCs/>
        </w:rPr>
        <w:t>2. Fiziksel önlemler</w:t>
      </w:r>
    </w:p>
    <w:p w:rsid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Sıcak su uygulaması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Buharla sterilizasyon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b/>
          <w:bCs/>
        </w:rPr>
        <w:t>3. Yasal önlemler</w:t>
      </w:r>
    </w:p>
    <w:p w:rsid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İç ve dış karantina kurallarına uyum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b/>
          <w:bCs/>
        </w:rPr>
        <w:t>4. Kimyasal mücadele</w:t>
      </w:r>
    </w:p>
    <w:p w:rsid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Tohum ilaçlamaları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Boş saha ilaçlamaları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Dikimle beraber ya da dikim sonrası ilaçlamalar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İlaçlama zamanının tespiti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Kullanılacak alet ve makineler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İlaçlama tekniği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rPr>
          <w:b/>
          <w:bCs/>
        </w:rPr>
        <w:t>5. Biyolojik mücadele</w:t>
      </w:r>
    </w:p>
    <w:p w:rsidR="00F258C6" w:rsidRDefault="00F258C6" w:rsidP="00F258C6">
      <w:pPr>
        <w:pStyle w:val="ListeParagraf"/>
        <w:spacing w:line="216" w:lineRule="auto"/>
      </w:pPr>
      <w:bookmarkStart w:id="0" w:name="_GoBack"/>
      <w:bookmarkEnd w:id="0"/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proofErr w:type="spellStart"/>
      <w:r w:rsidRPr="00DD5B2D">
        <w:t>Funguslar</w:t>
      </w:r>
      <w:proofErr w:type="spellEnd"/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Bakteri ve virüsler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proofErr w:type="spellStart"/>
      <w:r w:rsidRPr="00DD5B2D">
        <w:t>Predatör</w:t>
      </w:r>
      <w:proofErr w:type="spellEnd"/>
      <w:r w:rsidRPr="00DD5B2D">
        <w:t xml:space="preserve"> </w:t>
      </w:r>
      <w:proofErr w:type="spellStart"/>
      <w:r w:rsidRPr="00DD5B2D">
        <w:t>nematodlar</w:t>
      </w:r>
      <w:proofErr w:type="spellEnd"/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r w:rsidRPr="00DD5B2D">
        <w:t>Parazit bitkiler</w:t>
      </w:r>
    </w:p>
    <w:p w:rsidR="00DD5B2D" w:rsidRPr="00DD5B2D" w:rsidRDefault="00DD5B2D" w:rsidP="00DD5B2D">
      <w:pPr>
        <w:pStyle w:val="ListeParagraf"/>
        <w:numPr>
          <w:ilvl w:val="0"/>
          <w:numId w:val="1"/>
        </w:numPr>
        <w:spacing w:line="216" w:lineRule="auto"/>
      </w:pPr>
      <w:proofErr w:type="spellStart"/>
      <w:r w:rsidRPr="00DD5B2D">
        <w:t>Biofümigasyon</w:t>
      </w:r>
      <w:proofErr w:type="spellEnd"/>
    </w:p>
    <w:p w:rsidR="00DD5B2D" w:rsidRPr="00DD5B2D" w:rsidRDefault="00DD5B2D" w:rsidP="00DD5B2D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spacing w:line="216" w:lineRule="auto"/>
        <w:rPr>
          <w:b/>
          <w:u w:val="single"/>
        </w:rPr>
      </w:pPr>
      <w:r w:rsidRPr="00DD5B2D">
        <w:rPr>
          <w:b/>
          <w:u w:val="single"/>
        </w:rPr>
        <w:t>Arazi Çalışmaları</w:t>
      </w:r>
    </w:p>
    <w:p w:rsidR="00DD5B2D" w:rsidRPr="00DD5B2D" w:rsidRDefault="00DD5B2D" w:rsidP="00DD5B2D">
      <w:pPr>
        <w:pStyle w:val="ListeParagraf"/>
        <w:spacing w:line="216" w:lineRule="auto"/>
      </w:pPr>
    </w:p>
    <w:p w:rsidR="00DD5B2D" w:rsidRPr="00F258C6" w:rsidRDefault="00DD5B2D" w:rsidP="00DD5B2D">
      <w:pPr>
        <w:pStyle w:val="ListeParagraf"/>
        <w:numPr>
          <w:ilvl w:val="0"/>
          <w:numId w:val="2"/>
        </w:numPr>
        <w:spacing w:line="216" w:lineRule="auto"/>
        <w:rPr>
          <w:u w:val="single"/>
        </w:rPr>
      </w:pPr>
      <w:r w:rsidRPr="00F258C6">
        <w:rPr>
          <w:rFonts w:eastAsiaTheme="minorEastAsia"/>
          <w:b/>
          <w:bCs/>
          <w:color w:val="000000" w:themeColor="text1"/>
          <w:kern w:val="24"/>
          <w:u w:val="single"/>
        </w:rPr>
        <w:t>Örnek alma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Gözlem yolu ile tespit,</w:t>
      </w: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Bel, kürek,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şasula</w:t>
      </w:r>
      <w:proofErr w:type="spellEnd"/>
      <w:r w:rsidRPr="00DD5B2D">
        <w:rPr>
          <w:rFonts w:eastAsiaTheme="minorEastAsia"/>
          <w:color w:val="000000" w:themeColor="text1"/>
          <w:kern w:val="24"/>
        </w:rPr>
        <w:t>, toprak burgusu ile tesadüfi örnek alma (500 cm3),</w:t>
      </w: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Örnekler farklı noktalardan plastik torbalara 0-30 cm </w:t>
      </w:r>
      <w:proofErr w:type="gramStart"/>
      <w:r w:rsidRPr="00DD5B2D">
        <w:rPr>
          <w:rFonts w:eastAsiaTheme="minorEastAsia"/>
          <w:color w:val="000000" w:themeColor="text1"/>
          <w:kern w:val="24"/>
        </w:rPr>
        <w:t>(</w:t>
      </w:r>
      <w:proofErr w:type="spellStart"/>
      <w:proofErr w:type="gramEnd"/>
      <w:r w:rsidRPr="00DD5B2D">
        <w:rPr>
          <w:rFonts w:eastAsiaTheme="minorEastAsia"/>
          <w:color w:val="000000" w:themeColor="text1"/>
          <w:kern w:val="24"/>
        </w:rPr>
        <w:t>maks</w:t>
      </w:r>
      <w:proofErr w:type="spellEnd"/>
      <w:r w:rsidRPr="00DD5B2D">
        <w:rPr>
          <w:rFonts w:eastAsiaTheme="minorEastAsia"/>
          <w:color w:val="000000" w:themeColor="text1"/>
          <w:kern w:val="24"/>
        </w:rPr>
        <w:t>. 1m) arasından alınır.</w:t>
      </w: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Çok kuru ve çok nemli örneklerden kaçınılmalıdır.</w:t>
      </w: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Tamamen ölü bitki örnekleri alınmamalıdır.</w:t>
      </w:r>
    </w:p>
    <w:p w:rsidR="00DD5B2D" w:rsidRPr="00DD5B2D" w:rsidRDefault="00DD5B2D" w:rsidP="00DD5B2D">
      <w:pPr>
        <w:pStyle w:val="ListeParagraf"/>
        <w:numPr>
          <w:ilvl w:val="0"/>
          <w:numId w:val="2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Örnekler açıklamalı bilgiler kapsayacak biçimde etiketlenmelidir.</w:t>
      </w:r>
    </w:p>
    <w:p w:rsidR="00DD5B2D" w:rsidRPr="00DD5B2D" w:rsidRDefault="00DD5B2D" w:rsidP="00DD5B2D">
      <w:pPr>
        <w:pStyle w:val="ListeParagraf"/>
        <w:spacing w:line="216" w:lineRule="auto"/>
      </w:pPr>
    </w:p>
    <w:p w:rsidR="00DD5B2D" w:rsidRPr="00F258C6" w:rsidRDefault="00DD5B2D" w:rsidP="00DD5B2D">
      <w:pPr>
        <w:pStyle w:val="ListeParagraf"/>
        <w:numPr>
          <w:ilvl w:val="0"/>
          <w:numId w:val="3"/>
        </w:numPr>
        <w:spacing w:line="216" w:lineRule="auto"/>
        <w:rPr>
          <w:u w:val="single"/>
        </w:rPr>
      </w:pPr>
      <w:r w:rsidRPr="00F258C6">
        <w:rPr>
          <w:rFonts w:eastAsiaTheme="minorEastAsia"/>
          <w:b/>
          <w:bCs/>
          <w:color w:val="000000" w:themeColor="text1"/>
          <w:kern w:val="24"/>
          <w:u w:val="single"/>
        </w:rPr>
        <w:lastRenderedPageBreak/>
        <w:t>Örnek analiz yöntemleri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A.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Cobb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elek yöntemi</w:t>
      </w: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B.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Baerman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huni yöntemi</w:t>
      </w: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C.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Young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inkübasyon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yöntemi</w:t>
      </w: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D. Blender yöntemi</w:t>
      </w: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E. Şekerli su </w:t>
      </w:r>
      <w:proofErr w:type="gramStart"/>
      <w:r w:rsidRPr="00DD5B2D">
        <w:rPr>
          <w:rFonts w:eastAsiaTheme="minorEastAsia"/>
          <w:color w:val="000000" w:themeColor="text1"/>
          <w:kern w:val="24"/>
        </w:rPr>
        <w:t>santrifüj</w:t>
      </w:r>
      <w:proofErr w:type="gramEnd"/>
      <w:r w:rsidRPr="00DD5B2D">
        <w:rPr>
          <w:rFonts w:eastAsiaTheme="minorEastAsia"/>
          <w:color w:val="000000" w:themeColor="text1"/>
          <w:kern w:val="24"/>
        </w:rPr>
        <w:t xml:space="preserve"> yöntemi</w:t>
      </w:r>
    </w:p>
    <w:p w:rsidR="00DD5B2D" w:rsidRPr="00DD5B2D" w:rsidRDefault="00DD5B2D" w:rsidP="00DD5B2D">
      <w:pPr>
        <w:pStyle w:val="ListeParagraf"/>
        <w:numPr>
          <w:ilvl w:val="0"/>
          <w:numId w:val="3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F. Preparat hazırlama</w:t>
      </w:r>
    </w:p>
    <w:p w:rsidR="00DD5B2D" w:rsidRPr="00DD5B2D" w:rsidRDefault="00DD5B2D" w:rsidP="00DD5B2D">
      <w:pPr>
        <w:pStyle w:val="ListeParagraf"/>
        <w:spacing w:line="216" w:lineRule="auto"/>
      </w:pPr>
    </w:p>
    <w:p w:rsidR="00F258C6" w:rsidRDefault="00F258C6" w:rsidP="00DD5B2D">
      <w:pPr>
        <w:pStyle w:val="ListeParagraf"/>
        <w:spacing w:line="216" w:lineRule="auto"/>
        <w:rPr>
          <w:b/>
          <w:u w:val="single"/>
        </w:rPr>
      </w:pPr>
    </w:p>
    <w:p w:rsidR="00F258C6" w:rsidRDefault="00F258C6" w:rsidP="00DD5B2D">
      <w:pPr>
        <w:pStyle w:val="ListeParagraf"/>
        <w:spacing w:line="216" w:lineRule="auto"/>
        <w:rPr>
          <w:b/>
          <w:u w:val="single"/>
        </w:rPr>
      </w:pPr>
    </w:p>
    <w:p w:rsidR="00DD5B2D" w:rsidRPr="00DD5B2D" w:rsidRDefault="00DD5B2D" w:rsidP="00DD5B2D">
      <w:pPr>
        <w:pStyle w:val="ListeParagraf"/>
        <w:spacing w:line="216" w:lineRule="auto"/>
        <w:rPr>
          <w:b/>
          <w:u w:val="single"/>
        </w:rPr>
      </w:pPr>
      <w:r w:rsidRPr="00DD5B2D">
        <w:rPr>
          <w:b/>
          <w:u w:val="single"/>
        </w:rPr>
        <w:t>Moleküler Teknikler</w:t>
      </w:r>
    </w:p>
    <w:p w:rsidR="00F258C6" w:rsidRPr="00F258C6" w:rsidRDefault="00F258C6" w:rsidP="00F258C6">
      <w:pPr>
        <w:pStyle w:val="ListeParagraf"/>
        <w:spacing w:line="216" w:lineRule="auto"/>
      </w:pP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 xml:space="preserve">Protein 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elektroforezi</w:t>
      </w:r>
      <w:proofErr w:type="spellEnd"/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proofErr w:type="spellStart"/>
      <w:r w:rsidRPr="00DD5B2D">
        <w:rPr>
          <w:rFonts w:eastAsiaTheme="minorEastAsia"/>
          <w:color w:val="000000" w:themeColor="text1"/>
          <w:kern w:val="24"/>
        </w:rPr>
        <w:t>Polimeraz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zincir reaksiyonu (PCR)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PCR-RFLP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proofErr w:type="spellStart"/>
      <w:r w:rsidRPr="00DD5B2D">
        <w:rPr>
          <w:rFonts w:eastAsiaTheme="minorEastAsia"/>
          <w:color w:val="000000" w:themeColor="text1"/>
          <w:kern w:val="24"/>
        </w:rPr>
        <w:t>Multipleks</w:t>
      </w:r>
      <w:proofErr w:type="spellEnd"/>
      <w:r w:rsidRPr="00DD5B2D">
        <w:rPr>
          <w:rFonts w:eastAsiaTheme="minorEastAsia"/>
          <w:color w:val="000000" w:themeColor="text1"/>
          <w:kern w:val="24"/>
        </w:rPr>
        <w:t xml:space="preserve"> PCR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RAPD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AFLP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DNA sekansı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Real-time PCR</w:t>
      </w:r>
    </w:p>
    <w:p w:rsidR="00DD5B2D" w:rsidRPr="00DD5B2D" w:rsidRDefault="00DD5B2D" w:rsidP="00DD5B2D">
      <w:pPr>
        <w:pStyle w:val="ListeParagraf"/>
        <w:numPr>
          <w:ilvl w:val="0"/>
          <w:numId w:val="4"/>
        </w:numPr>
        <w:spacing w:line="216" w:lineRule="auto"/>
      </w:pPr>
      <w:r w:rsidRPr="00DD5B2D">
        <w:rPr>
          <w:rFonts w:eastAsiaTheme="minorEastAsia"/>
          <w:color w:val="000000" w:themeColor="text1"/>
          <w:kern w:val="24"/>
        </w:rPr>
        <w:t>DNA bar-</w:t>
      </w:r>
      <w:proofErr w:type="spellStart"/>
      <w:r w:rsidRPr="00DD5B2D">
        <w:rPr>
          <w:rFonts w:eastAsiaTheme="minorEastAsia"/>
          <w:color w:val="000000" w:themeColor="text1"/>
          <w:kern w:val="24"/>
        </w:rPr>
        <w:t>coding</w:t>
      </w:r>
      <w:proofErr w:type="spellEnd"/>
    </w:p>
    <w:p w:rsidR="00BD2453" w:rsidRDefault="00BD2453"/>
    <w:sectPr w:rsidR="00BD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561D"/>
    <w:multiLevelType w:val="hybridMultilevel"/>
    <w:tmpl w:val="A49ED73C"/>
    <w:lvl w:ilvl="0" w:tplc="C588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6E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6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69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8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711CB2"/>
    <w:multiLevelType w:val="hybridMultilevel"/>
    <w:tmpl w:val="FEF8F46C"/>
    <w:lvl w:ilvl="0" w:tplc="63C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E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2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6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2C283B"/>
    <w:multiLevelType w:val="hybridMultilevel"/>
    <w:tmpl w:val="5824B164"/>
    <w:lvl w:ilvl="0" w:tplc="FDE6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8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1734EE"/>
    <w:multiLevelType w:val="hybridMultilevel"/>
    <w:tmpl w:val="79C631C6"/>
    <w:lvl w:ilvl="0" w:tplc="DFB8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4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0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A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D"/>
    <w:rsid w:val="00BD2453"/>
    <w:rsid w:val="00DD5B2D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81F1-330E-441B-A186-E0C0B68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Company>SilentAll Team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2</cp:revision>
  <dcterms:created xsi:type="dcterms:W3CDTF">2018-01-04T10:07:00Z</dcterms:created>
  <dcterms:modified xsi:type="dcterms:W3CDTF">2018-01-04T10:29:00Z</dcterms:modified>
</cp:coreProperties>
</file>