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4C6A" w:rsidRPr="00296531" w:rsidRDefault="00E84C6A" w:rsidP="00E84C6A">
      <w:pPr>
        <w:pStyle w:val="a"/>
        <w:spacing w:before="120" w:after="120"/>
      </w:pPr>
      <w:r w:rsidRPr="00296531">
        <w:t>TOPLUMSAL GRUPLAŞMA VE DİN</w:t>
      </w:r>
    </w:p>
    <w:p w:rsidR="00E84C6A" w:rsidRPr="003610A5" w:rsidRDefault="00E84C6A" w:rsidP="00E84C6A">
      <w:pPr>
        <w:keepNext/>
        <w:framePr w:dropCap="drop" w:lines="2" w:w="567" w:wrap="around" w:vAnchor="text" w:hAnchor="text" w:y="1"/>
        <w:spacing w:before="120" w:line="505" w:lineRule="exact"/>
        <w:ind w:firstLine="0"/>
        <w:textAlignment w:val="baseline"/>
        <w:rPr>
          <w:position w:val="-5"/>
          <w:sz w:val="64"/>
        </w:rPr>
      </w:pPr>
      <w:r w:rsidRPr="00476872">
        <w:rPr>
          <w:position w:val="-5"/>
          <w:sz w:val="72"/>
          <w:szCs w:val="28"/>
        </w:rPr>
        <w:t>D</w:t>
      </w:r>
    </w:p>
    <w:p w:rsidR="00E84C6A" w:rsidRPr="00412D64" w:rsidRDefault="00E84C6A" w:rsidP="00E84C6A">
      <w:pPr>
        <w:spacing w:before="120"/>
        <w:ind w:firstLine="0"/>
      </w:pPr>
      <w:r w:rsidRPr="00412D64">
        <w:t xml:space="preserve">in araştırmalarında, olgulara toplumcu ve </w:t>
      </w:r>
      <w:r>
        <w:t>bireyc</w:t>
      </w:r>
      <w:r w:rsidRPr="00412D64">
        <w:t>i o</w:t>
      </w:r>
      <w:r w:rsidRPr="00412D64">
        <w:t>l</w:t>
      </w:r>
      <w:r w:rsidRPr="00412D64">
        <w:t>mak üzere iki yaklaşımın bulunduğu bil</w:t>
      </w:r>
      <w:r>
        <w:t>inmektedir. To</w:t>
      </w:r>
      <w:r>
        <w:t>p</w:t>
      </w:r>
      <w:r>
        <w:t>lumcu yaklaşım</w:t>
      </w:r>
      <w:r w:rsidRPr="00412D64">
        <w:t xml:space="preserve">a göre dinî gelişme, daha ziyade grup ve onun faaliyeti sayesinde gerçekleşir. </w:t>
      </w:r>
      <w:r>
        <w:t>Grup üyeleri grup</w:t>
      </w:r>
      <w:r w:rsidRPr="00412D64">
        <w:t xml:space="preserve"> yönetiminin araçları ve tem</w:t>
      </w:r>
      <w:r>
        <w:t xml:space="preserve">silcileridir. </w:t>
      </w:r>
      <w:proofErr w:type="spellStart"/>
      <w:r>
        <w:t>Bireyçi</w:t>
      </w:r>
      <w:proofErr w:type="spellEnd"/>
      <w:r>
        <w:t xml:space="preserve"> yakl</w:t>
      </w:r>
      <w:r>
        <w:t>a</w:t>
      </w:r>
      <w:r>
        <w:t>şım</w:t>
      </w:r>
      <w:r w:rsidRPr="00412D64">
        <w:t xml:space="preserve">a göre </w:t>
      </w:r>
      <w:r>
        <w:t xml:space="preserve">ise </w:t>
      </w:r>
      <w:r w:rsidRPr="00412D64">
        <w:t xml:space="preserve">grubun faaliyetini tayin eden şey, </w:t>
      </w:r>
      <w:r>
        <w:t>bireyin</w:t>
      </w:r>
      <w:r w:rsidRPr="00412D64">
        <w:t xml:space="preserve"> t</w:t>
      </w:r>
      <w:r w:rsidRPr="00412D64">
        <w:t>e</w:t>
      </w:r>
      <w:r w:rsidRPr="00412D64">
        <w:t xml:space="preserve">şebbüsü ve yaratıcı gücüdür. </w:t>
      </w:r>
      <w:r>
        <w:t>Bununla birlikte g</w:t>
      </w:r>
      <w:r w:rsidRPr="00412D64">
        <w:t>rup yapılar</w:t>
      </w:r>
      <w:r w:rsidRPr="00412D64">
        <w:t>ı</w:t>
      </w:r>
      <w:r w:rsidRPr="00412D64">
        <w:t>nın en önemli özelliği, grupta bir liderin olması, bu liderin, grup üyelerini çeşitli özellikleriyle etkilemesi ve liderin a</w:t>
      </w:r>
      <w:r w:rsidRPr="00412D64">
        <w:t>r</w:t>
      </w:r>
      <w:r w:rsidRPr="00412D64">
        <w:t>kasından gitmelerini sağlamas</w:t>
      </w:r>
      <w:r w:rsidRPr="00412D64">
        <w:t>ı</w:t>
      </w:r>
      <w:r w:rsidRPr="00412D64">
        <w:t>dır</w:t>
      </w:r>
      <w:r>
        <w:t>.</w:t>
      </w:r>
      <w:r w:rsidRPr="00412D64">
        <w:rPr>
          <w:rStyle w:val="SonnotBavurusu"/>
          <w:color w:val="000000"/>
        </w:rPr>
        <w:endnoteReference w:id="1"/>
      </w:r>
    </w:p>
    <w:p w:rsidR="00E84C6A" w:rsidRPr="00412D64" w:rsidRDefault="00E84C6A" w:rsidP="00E84C6A">
      <w:pPr>
        <w:spacing w:before="120" w:line="256" w:lineRule="exact"/>
      </w:pPr>
      <w:r w:rsidRPr="00412D64">
        <w:t>İlkel topluluklarda bile, toplumun çeşitli kesimleri üz</w:t>
      </w:r>
      <w:r w:rsidRPr="00412D64">
        <w:t>e</w:t>
      </w:r>
      <w:r w:rsidRPr="00412D64">
        <w:t>rinde büyük etkisi olan, dinî kabiliyetlere sahip kişil</w:t>
      </w:r>
      <w:r w:rsidRPr="00412D64">
        <w:t>e</w:t>
      </w:r>
      <w:r w:rsidRPr="00412D64">
        <w:t xml:space="preserve">rin varlığı bilinmektedir. </w:t>
      </w:r>
      <w:r>
        <w:t xml:space="preserve">Sır cemiyetleri, </w:t>
      </w:r>
      <w:r w:rsidRPr="00412D64">
        <w:t>başlangıçlarını, tarihi veya efsanevi bir “</w:t>
      </w:r>
      <w:proofErr w:type="spellStart"/>
      <w:r w:rsidRPr="00412D64">
        <w:t>kurucu”ya</w:t>
      </w:r>
      <w:proofErr w:type="spellEnd"/>
      <w:r w:rsidRPr="00412D64">
        <w:t xml:space="preserve"> bağlar. Dinler tarihi</w:t>
      </w:r>
      <w:r>
        <w:fldChar w:fldCharType="begin"/>
      </w:r>
      <w:r>
        <w:instrText xml:space="preserve"> XE "</w:instrText>
      </w:r>
      <w:r w:rsidRPr="00A50B4C">
        <w:instrText>Dinler tarihi</w:instrText>
      </w:r>
      <w:r>
        <w:instrText xml:space="preserve">" </w:instrText>
      </w:r>
      <w:r>
        <w:fldChar w:fldCharType="end"/>
      </w:r>
      <w:r w:rsidRPr="00412D64">
        <w:t>ndeki m</w:t>
      </w:r>
      <w:r w:rsidRPr="00412D64">
        <w:t>e</w:t>
      </w:r>
      <w:r w:rsidRPr="00412D64">
        <w:t xml:space="preserve">lez din sistemlerinde bile bu konuda örnekler bulunabilir. </w:t>
      </w:r>
      <w:proofErr w:type="spellStart"/>
      <w:r w:rsidRPr="00412D64">
        <w:t>Jaina’nın</w:t>
      </w:r>
      <w:proofErr w:type="spellEnd"/>
      <w:r w:rsidRPr="00412D64">
        <w:t xml:space="preserve">, ilahi </w:t>
      </w:r>
      <w:proofErr w:type="spellStart"/>
      <w:r w:rsidRPr="00412D64">
        <w:t>üstadların</w:t>
      </w:r>
      <w:proofErr w:type="spellEnd"/>
      <w:r w:rsidRPr="00412D64">
        <w:t xml:space="preserve"> nesli olan “</w:t>
      </w:r>
      <w:proofErr w:type="spellStart"/>
      <w:r w:rsidRPr="00412D64">
        <w:t>tirthamkara</w:t>
      </w:r>
      <w:proofErr w:type="spellEnd"/>
      <w:r w:rsidRPr="00412D64">
        <w:t>” (aydınl</w:t>
      </w:r>
      <w:r w:rsidRPr="00412D64">
        <w:t>a</w:t>
      </w:r>
      <w:r w:rsidRPr="00412D64">
        <w:t>tıcılar) anlayışı, bunlardan biridir. Dinî şahsiyetlerin, dinlerin gelişiminde oynadığı önemli roller konusunda evrensel di</w:t>
      </w:r>
      <w:r w:rsidRPr="00412D64">
        <w:t>n</w:t>
      </w:r>
      <w:r w:rsidRPr="00412D64">
        <w:t>leri incelemek de bize daha fazla ipucu verir. Bu dinlerde kurucuların hayatının çoğunlukla efsane ve gelenek tarafı</w:t>
      </w:r>
      <w:r w:rsidRPr="00412D64">
        <w:t>n</w:t>
      </w:r>
      <w:r w:rsidRPr="00412D64">
        <w:t>dan süslendiği hesaba katılsa bile bu, onların doğmasına yol açtıkları büyük cemaatler üzerindeki fevkalade etkileri ort</w:t>
      </w:r>
      <w:r w:rsidRPr="00412D64">
        <w:t>a</w:t>
      </w:r>
      <w:r w:rsidRPr="00412D64">
        <w:t>dan kaldırmaz. Tarihte dinlerin gelişiminde önemli rol o</w:t>
      </w:r>
      <w:r w:rsidRPr="00412D64">
        <w:t>y</w:t>
      </w:r>
      <w:r w:rsidRPr="00412D64">
        <w:t>namış olan bu kişilerden bazıları düşünce, eylem ya da so</w:t>
      </w:r>
      <w:r w:rsidRPr="00412D64">
        <w:t>s</w:t>
      </w:r>
      <w:r w:rsidRPr="00412D64">
        <w:t>yal teşkilata yenilikler katmış, bir taraftan iman ve ibadette canlılık meydana getirip onları yeniden şekillendirirken; diğer taraftan vahiy ve ilhamları geleneksel kalıplarla y</w:t>
      </w:r>
      <w:r w:rsidRPr="00412D64">
        <w:t>o</w:t>
      </w:r>
      <w:r w:rsidRPr="00412D64">
        <w:t>rumlamışlardır</w:t>
      </w:r>
      <w:r>
        <w:t>.</w:t>
      </w:r>
      <w:r w:rsidRPr="00412D64">
        <w:rPr>
          <w:rStyle w:val="SonnotBavurusu"/>
          <w:color w:val="000000"/>
        </w:rPr>
        <w:endnoteReference w:id="2"/>
      </w:r>
      <w:r>
        <w:t xml:space="preserve"> </w:t>
      </w:r>
      <w:r w:rsidRPr="00412D64">
        <w:t>Esasen evrensel dinleri karakterize eden önemli bir husus, dini kuran ya da dini temellend</w:t>
      </w:r>
      <w:r w:rsidRPr="00412D64">
        <w:t>i</w:t>
      </w:r>
      <w:r w:rsidRPr="00412D64">
        <w:t>ren ve oluşumunu gerçekleştiren bir kişinin varlığıdır. Bu durumda onlar için “din kurucusu” gibi genel bir terim kullanılabilir</w:t>
      </w:r>
      <w:r>
        <w:t>.</w:t>
      </w:r>
      <w:r w:rsidRPr="00412D64">
        <w:rPr>
          <w:rStyle w:val="SonnotBavurusu"/>
          <w:color w:val="000000"/>
        </w:rPr>
        <w:endnoteReference w:id="3"/>
      </w:r>
      <w:r w:rsidRPr="00412D64">
        <w:t xml:space="preserve"> Bu kimseler uzak doğu dinlerinde dini öğreten, hoca, </w:t>
      </w:r>
      <w:proofErr w:type="spellStart"/>
      <w:r w:rsidRPr="00412D64">
        <w:t>üstad</w:t>
      </w:r>
      <w:proofErr w:type="spellEnd"/>
      <w:r w:rsidRPr="00412D64">
        <w:t>; İslam</w:t>
      </w:r>
      <w:r>
        <w:fldChar w:fldCharType="begin"/>
      </w:r>
      <w:r>
        <w:instrText xml:space="preserve"> XE "</w:instrText>
      </w:r>
      <w:r w:rsidRPr="00A50B4C">
        <w:instrText>İslam</w:instrText>
      </w:r>
      <w:r>
        <w:instrText xml:space="preserve">" </w:instrText>
      </w:r>
      <w:r>
        <w:fldChar w:fldCharType="end"/>
      </w:r>
      <w:r w:rsidRPr="00412D64">
        <w:t xml:space="preserve">’da Peygamber; </w:t>
      </w:r>
      <w:proofErr w:type="spellStart"/>
      <w:r w:rsidRPr="00412D64">
        <w:t>Hıristiya</w:t>
      </w:r>
      <w:r w:rsidRPr="00412D64">
        <w:t>n</w:t>
      </w:r>
      <w:r w:rsidRPr="00412D64">
        <w:t>lık</w:t>
      </w:r>
      <w:r>
        <w:fldChar w:fldCharType="begin"/>
      </w:r>
      <w:r>
        <w:instrText xml:space="preserve"> XE "</w:instrText>
      </w:r>
      <w:r w:rsidRPr="00A50B4C">
        <w:instrText>Hıristiyanlık</w:instrText>
      </w:r>
      <w:r>
        <w:instrText xml:space="preserve">" </w:instrText>
      </w:r>
      <w:r>
        <w:fldChar w:fldCharType="end"/>
      </w:r>
      <w:r w:rsidRPr="00412D64">
        <w:t>’ta</w:t>
      </w:r>
      <w:proofErr w:type="spellEnd"/>
      <w:r w:rsidRPr="00412D64">
        <w:t xml:space="preserve"> İsa’nın zatıdır</w:t>
      </w:r>
      <w:r>
        <w:t>.</w:t>
      </w:r>
      <w:r w:rsidRPr="00412D64">
        <w:rPr>
          <w:rStyle w:val="SonnotBavurusu"/>
          <w:color w:val="000000"/>
        </w:rPr>
        <w:endnoteReference w:id="4"/>
      </w:r>
      <w:r>
        <w:t xml:space="preserve"> D</w:t>
      </w:r>
      <w:r w:rsidRPr="00412D64">
        <w:t>in kurucuları ve onlara ilk tabi olanlar, belli sosyal tabaka veya çevreden gelebilir. Bu cemaatlerin</w:t>
      </w:r>
      <w:r>
        <w:t xml:space="preserve"> oluşumun</w:t>
      </w:r>
      <w:r w:rsidRPr="00412D64">
        <w:t>da sosyal, ek</w:t>
      </w:r>
      <w:r w:rsidRPr="00412D64">
        <w:t>o</w:t>
      </w:r>
      <w:r w:rsidRPr="00412D64">
        <w:t>nomik ve siyasi şar</w:t>
      </w:r>
      <w:r w:rsidRPr="00412D64">
        <w:t>t</w:t>
      </w:r>
      <w:r w:rsidRPr="00412D64">
        <w:t>lar, değişiml</w:t>
      </w:r>
      <w:r>
        <w:t xml:space="preserve">er rol oynamıştır. </w:t>
      </w:r>
      <w:proofErr w:type="spellStart"/>
      <w:r>
        <w:t>Weber</w:t>
      </w:r>
      <w:proofErr w:type="spellEnd"/>
      <w:r>
        <w:t>, tarihteki</w:t>
      </w:r>
      <w:r w:rsidRPr="00412D64">
        <w:t xml:space="preserve"> büyük dinlerin daima bir toplumsal kriz ortamında doğduğuna işaret etmiştir. Bununla birlikte dinden doğan grupları, </w:t>
      </w:r>
      <w:proofErr w:type="spellStart"/>
      <w:r w:rsidRPr="00412D64">
        <w:t>sosyo</w:t>
      </w:r>
      <w:proofErr w:type="spellEnd"/>
      <w:r w:rsidRPr="00412D64">
        <w:t xml:space="preserve">-ekonomik, siyasi ve kültürel şartların bir sonucu olarak görmek mümkün değildir. </w:t>
      </w:r>
      <w:r>
        <w:t>D</w:t>
      </w:r>
      <w:r w:rsidRPr="00412D64">
        <w:t>inî grupların d</w:t>
      </w:r>
      <w:r w:rsidRPr="00412D64">
        <w:t>o</w:t>
      </w:r>
      <w:r w:rsidRPr="00412D64">
        <w:t>ğuşunda sırf dinî faktörü ihmal etmemek gerekir. Aksi ta</w:t>
      </w:r>
      <w:r w:rsidRPr="00412D64">
        <w:t>k</w:t>
      </w:r>
      <w:r w:rsidRPr="00412D64">
        <w:t>dirde bu ihmal, dinlerin ortaya çıkışında, kurucuların olağ</w:t>
      </w:r>
      <w:r w:rsidRPr="00412D64">
        <w:t>a</w:t>
      </w:r>
      <w:r w:rsidRPr="00412D64">
        <w:t xml:space="preserve">nüstü başarılarının </w:t>
      </w:r>
      <w:proofErr w:type="gramStart"/>
      <w:r w:rsidRPr="00412D64">
        <w:t>inkarına</w:t>
      </w:r>
      <w:proofErr w:type="gramEnd"/>
      <w:r w:rsidRPr="00412D64">
        <w:t xml:space="preserve"> yol açar. Ayrıca </w:t>
      </w:r>
      <w:r>
        <w:t xml:space="preserve">bu, </w:t>
      </w:r>
      <w:r w:rsidRPr="00412D64">
        <w:t>sırf dinî grubun üyelerini birleştiren manevi ve dinî bağı vu</w:t>
      </w:r>
      <w:r w:rsidRPr="00412D64">
        <w:t>r</w:t>
      </w:r>
      <w:r w:rsidRPr="00412D64">
        <w:t>gulayan, yorumlayan, tecrübe eden kurucunun faaliyetlerinin toplu</w:t>
      </w:r>
      <w:r w:rsidRPr="00412D64">
        <w:t>m</w:t>
      </w:r>
      <w:r w:rsidRPr="00412D64">
        <w:t>sal sınırlamalara tabi tutulmasına yol açar</w:t>
      </w:r>
      <w:r>
        <w:t>.</w:t>
      </w:r>
      <w:r w:rsidRPr="00412D64">
        <w:rPr>
          <w:rStyle w:val="SonnotBavurusu"/>
          <w:color w:val="000000"/>
        </w:rPr>
        <w:endnoteReference w:id="5"/>
      </w:r>
      <w:r w:rsidRPr="00412D64">
        <w:t xml:space="preserve"> Biz burada e</w:t>
      </w:r>
      <w:r w:rsidRPr="00412D64">
        <w:t>v</w:t>
      </w:r>
      <w:r w:rsidRPr="00412D64">
        <w:t>rensel dinleri ve bu dinlerde yeni bir dinî tecrübenin doğm</w:t>
      </w:r>
      <w:r w:rsidRPr="00412D64">
        <w:t>a</w:t>
      </w:r>
      <w:r w:rsidRPr="00412D64">
        <w:t>sına yol açan seçkin kişileri inceleyeceğiz. Ancak, yeri ge</w:t>
      </w:r>
      <w:r w:rsidRPr="00412D64">
        <w:t>l</w:t>
      </w:r>
      <w:r w:rsidRPr="00412D64">
        <w:t>dikçe diğer dinleri ve dinlerin ort</w:t>
      </w:r>
      <w:r w:rsidRPr="00412D64">
        <w:t>a</w:t>
      </w:r>
      <w:r w:rsidRPr="00412D64">
        <w:t xml:space="preserve">ya çıkışı ve gelişiminde </w:t>
      </w:r>
      <w:r>
        <w:t>etkili olan seçkin kişilere de d</w:t>
      </w:r>
      <w:r>
        <w:t>e</w:t>
      </w:r>
      <w:r>
        <w:t>ğineceğiz.</w:t>
      </w:r>
    </w:p>
    <w:p w:rsidR="00E84C6A" w:rsidRPr="00CB1BA4" w:rsidRDefault="00E84C6A" w:rsidP="00E84C6A">
      <w:pPr>
        <w:pStyle w:val="Balk1"/>
        <w:spacing w:line="256" w:lineRule="exact"/>
      </w:pPr>
      <w:bookmarkStart w:id="0" w:name="_Toc192673898"/>
      <w:bookmarkStart w:id="1" w:name="_Toc192760845"/>
      <w:bookmarkStart w:id="2" w:name="_Toc192999910"/>
      <w:r>
        <w:t>1. Dinler v</w:t>
      </w:r>
      <w:r w:rsidRPr="00CB1BA4">
        <w:t>e İlk Müntesiplerin Sosyal Çevresi</w:t>
      </w:r>
      <w:bookmarkEnd w:id="0"/>
      <w:bookmarkEnd w:id="1"/>
      <w:bookmarkEnd w:id="2"/>
    </w:p>
    <w:p w:rsidR="00E84C6A" w:rsidRPr="00412D64" w:rsidRDefault="00E84C6A" w:rsidP="00E84C6A">
      <w:pPr>
        <w:pStyle w:val="SDarYaz"/>
      </w:pPr>
      <w:r w:rsidRPr="00412D64">
        <w:t>Yaratıcı büyük şahsiyetler tarafından oluşturulan</w:t>
      </w:r>
      <w:r w:rsidRPr="00412D64">
        <w:rPr>
          <w:rStyle w:val="SonnotBavurusu"/>
          <w:color w:val="000000"/>
        </w:rPr>
        <w:endnoteReference w:id="6"/>
      </w:r>
      <w:r w:rsidRPr="00412D64">
        <w:t xml:space="preserve"> evre</w:t>
      </w:r>
      <w:r w:rsidRPr="00412D64">
        <w:t>n</w:t>
      </w:r>
      <w:r w:rsidRPr="00412D64">
        <w:t>sel din</w:t>
      </w:r>
      <w:r>
        <w:t>ler</w:t>
      </w:r>
      <w:r w:rsidRPr="00412D64">
        <w:t>, millî din</w:t>
      </w:r>
      <w:r>
        <w:t>ler</w:t>
      </w:r>
      <w:r w:rsidRPr="00412D64">
        <w:t xml:space="preserve">den farklı olarak </w:t>
      </w:r>
      <w:r>
        <w:t>bireye</w:t>
      </w:r>
      <w:r w:rsidRPr="00412D64">
        <w:t xml:space="preserve"> hitap etmi</w:t>
      </w:r>
      <w:r w:rsidRPr="00412D64">
        <w:t>ş</w:t>
      </w:r>
      <w:r w:rsidRPr="00412D64">
        <w:t xml:space="preserve">tir. </w:t>
      </w:r>
      <w:r>
        <w:t>B</w:t>
      </w:r>
      <w:r w:rsidRPr="00412D64">
        <w:t xml:space="preserve">u dinler, </w:t>
      </w:r>
      <w:r>
        <w:t>bireyin</w:t>
      </w:r>
      <w:r w:rsidRPr="00412D64">
        <w:t>, daha önce içerisinde bulu</w:t>
      </w:r>
      <w:r w:rsidRPr="00412D64">
        <w:t>n</w:t>
      </w:r>
      <w:r w:rsidRPr="00412D64">
        <w:t xml:space="preserve">duğu ve kutsal olarak kavradığı tabii birliğin çözülmesine dayanır. </w:t>
      </w:r>
      <w:r>
        <w:t>Birey</w:t>
      </w:r>
      <w:r w:rsidRPr="00412D64">
        <w:t>, bu birliğin üyesidir. Ancak onun üyeliği, önceden olduğu gibi tabii birliğin tekelinde değildir. D</w:t>
      </w:r>
      <w:r w:rsidRPr="00412D64">
        <w:t>o</w:t>
      </w:r>
      <w:r w:rsidRPr="00412D64">
        <w:t xml:space="preserve">ğal birlik ve gruplaşmalar, artık </w:t>
      </w:r>
      <w:r>
        <w:t>bireyi</w:t>
      </w:r>
      <w:r w:rsidRPr="00412D64">
        <w:t xml:space="preserve"> tatmin etmemekt</w:t>
      </w:r>
      <w:r w:rsidRPr="00412D64">
        <w:t>e</w:t>
      </w:r>
      <w:r w:rsidRPr="00412D64">
        <w:t>dir. Onun daha yüksek ideallere, daha kapsayıcı bir dünya görüşüne, kendi hayatını aşan hede</w:t>
      </w:r>
      <w:r w:rsidRPr="00412D64">
        <w:t>f</w:t>
      </w:r>
      <w:r w:rsidRPr="00412D64">
        <w:t>lere sahip bir c</w:t>
      </w:r>
      <w:r w:rsidRPr="00412D64">
        <w:t>e</w:t>
      </w:r>
      <w:r w:rsidRPr="00412D64">
        <w:t xml:space="preserve">maate ihtiyacı vardır. İşte evrensel din, böyle ihtiyaçları olan </w:t>
      </w:r>
      <w:r>
        <w:t>birey</w:t>
      </w:r>
      <w:r w:rsidRPr="00412D64">
        <w:t xml:space="preserve">lere hitap etmekte </w:t>
      </w:r>
      <w:r>
        <w:t xml:space="preserve">ve "müminler cemaati" dediğimiz </w:t>
      </w:r>
      <w:r w:rsidRPr="00412D64">
        <w:t>dinî cemaatleri ortaya çıkarmaktadır. Evrensel din</w:t>
      </w:r>
      <w:r>
        <w:fldChar w:fldCharType="begin"/>
      </w:r>
      <w:r>
        <w:instrText xml:space="preserve"> XE "</w:instrText>
      </w:r>
      <w:r w:rsidRPr="00A50B4C">
        <w:instrText>Evrensel din</w:instrText>
      </w:r>
      <w:r>
        <w:instrText xml:space="preserve">" </w:instrText>
      </w:r>
      <w:r>
        <w:fldChar w:fldCharType="end"/>
      </w:r>
      <w:r w:rsidRPr="00412D64">
        <w:t>lerin ortaya çıkardığı cemaatler, bazı ortak çizgilerle kara</w:t>
      </w:r>
      <w:r w:rsidRPr="00412D64">
        <w:t>k</w:t>
      </w:r>
      <w:r w:rsidRPr="00412D64">
        <w:t xml:space="preserve">terize edilebilir. Onlar ya </w:t>
      </w:r>
      <w:proofErr w:type="spellStart"/>
      <w:r w:rsidRPr="00412D64">
        <w:t>peygamberî</w:t>
      </w:r>
      <w:proofErr w:type="spellEnd"/>
      <w:r w:rsidRPr="00412D64">
        <w:t xml:space="preserve"> dinlerde o</w:t>
      </w:r>
      <w:r w:rsidRPr="00412D64">
        <w:t>l</w:t>
      </w:r>
      <w:r w:rsidRPr="00412D64">
        <w:t xml:space="preserve">duğu gibi doğal sosyal tabakalardan ya da </w:t>
      </w:r>
      <w:proofErr w:type="spellStart"/>
      <w:r w:rsidRPr="00412D64">
        <w:t>Buddizm'de</w:t>
      </w:r>
      <w:proofErr w:type="spellEnd"/>
      <w:r w:rsidRPr="00412D64">
        <w:t xml:space="preserve"> olduğu gibi ilk bağlıların çıktığı sosyal tabakalar</w:t>
      </w:r>
      <w:r>
        <w:t xml:space="preserve">dan ortaya </w:t>
      </w:r>
      <w:r w:rsidRPr="00412D64">
        <w:t>çıkmaktadır</w:t>
      </w:r>
      <w:r>
        <w:t>.</w:t>
      </w:r>
      <w:r w:rsidRPr="00412D64">
        <w:rPr>
          <w:rStyle w:val="SonnotBavurusu"/>
          <w:color w:val="000000"/>
        </w:rPr>
        <w:endnoteReference w:id="7"/>
      </w:r>
      <w:r w:rsidRPr="00412D64">
        <w:t xml:space="preserve"> Burada </w:t>
      </w:r>
      <w:proofErr w:type="spellStart"/>
      <w:r w:rsidRPr="00412D64">
        <w:t>peygamberî</w:t>
      </w:r>
      <w:proofErr w:type="spellEnd"/>
      <w:r w:rsidRPr="00412D64">
        <w:t xml:space="preserve"> dinlerle ilgili </w:t>
      </w:r>
      <w:r>
        <w:t>gel</w:t>
      </w:r>
      <w:r>
        <w:t>e</w:t>
      </w:r>
      <w:r>
        <w:t>neğin</w:t>
      </w:r>
      <w:r w:rsidRPr="00412D64">
        <w:t xml:space="preserve"> içine İslam</w:t>
      </w:r>
      <w:r>
        <w:fldChar w:fldCharType="begin"/>
      </w:r>
      <w:r>
        <w:instrText xml:space="preserve"> XE "</w:instrText>
      </w:r>
      <w:r w:rsidRPr="00A50B4C">
        <w:instrText>İslam</w:instrText>
      </w:r>
      <w:r>
        <w:instrText xml:space="preserve">" </w:instrText>
      </w:r>
      <w:r>
        <w:fldChar w:fldCharType="end"/>
      </w:r>
      <w:r w:rsidRPr="00412D64">
        <w:t xml:space="preserve">'ın da </w:t>
      </w:r>
      <w:proofErr w:type="gramStart"/>
      <w:r>
        <w:t>dahil</w:t>
      </w:r>
      <w:proofErr w:type="gramEnd"/>
      <w:r>
        <w:t xml:space="preserve"> edilmesi gayretleri olsa da, İslam’ın bu kategoride yer alması pek mümkün g</w:t>
      </w:r>
      <w:r>
        <w:t>ö</w:t>
      </w:r>
      <w:r>
        <w:t>rün</w:t>
      </w:r>
      <w:r w:rsidRPr="00412D64">
        <w:t>memektedir. Nitekim bu konuda y</w:t>
      </w:r>
      <w:r>
        <w:t>aptığı bir değerlendi</w:t>
      </w:r>
      <w:r>
        <w:t>r</w:t>
      </w:r>
      <w:r>
        <w:t xml:space="preserve">mede </w:t>
      </w:r>
      <w:proofErr w:type="spellStart"/>
      <w:r>
        <w:t>Watt</w:t>
      </w:r>
      <w:proofErr w:type="spellEnd"/>
      <w:r>
        <w:t xml:space="preserve">, </w:t>
      </w:r>
      <w:r w:rsidRPr="00412D64">
        <w:t>doğuşu sırasında İslam'ın her şeyden önce bir g</w:t>
      </w:r>
      <w:r>
        <w:t>enç insanlar hareketi olduğunu, bazılar</w:t>
      </w:r>
      <w:r>
        <w:t>ı</w:t>
      </w:r>
      <w:r>
        <w:t xml:space="preserve">nın iddia ettiği gibi </w:t>
      </w:r>
      <w:r w:rsidRPr="00412D64">
        <w:t>Mekke'de düşkün, güçlü kabile bağları bulunmayan "</w:t>
      </w:r>
      <w:proofErr w:type="spellStart"/>
      <w:r w:rsidRPr="00412D64">
        <w:t>bezgi</w:t>
      </w:r>
      <w:r w:rsidRPr="00412D64">
        <w:t>n</w:t>
      </w:r>
      <w:r w:rsidRPr="00412D64">
        <w:t>ler"in</w:t>
      </w:r>
      <w:proofErr w:type="spellEnd"/>
      <w:r w:rsidRPr="00412D64">
        <w:t>, toplulukta işe yaramaz kimselerin ve "</w:t>
      </w:r>
      <w:proofErr w:type="gramStart"/>
      <w:r w:rsidRPr="00412D64">
        <w:t>b</w:t>
      </w:r>
      <w:r w:rsidRPr="00412D64">
        <w:t>e</w:t>
      </w:r>
      <w:r w:rsidRPr="00412D64">
        <w:t>leşçilerin</w:t>
      </w:r>
      <w:proofErr w:type="gramEnd"/>
      <w:r w:rsidRPr="00412D64">
        <w:t xml:space="preserve">" hareketi olmadığını ifade etmektedir. </w:t>
      </w:r>
      <w:r>
        <w:t>O</w:t>
      </w:r>
      <w:r w:rsidRPr="00412D64">
        <w:t>na göre İslam, desteğini toplumun alt kesimlerinden değil, kend</w:t>
      </w:r>
      <w:r w:rsidRPr="00412D64">
        <w:t>i</w:t>
      </w:r>
      <w:r w:rsidRPr="00412D64">
        <w:t>siyle yukarıdakiler arasındaki eşitsizliğin farkına varıp, i</w:t>
      </w:r>
      <w:r w:rsidRPr="00412D64">
        <w:t>m</w:t>
      </w:r>
      <w:r w:rsidRPr="00412D64">
        <w:t>kânlarının kıt olduğunu hissetmeye başlayan orta tab</w:t>
      </w:r>
      <w:r w:rsidRPr="00412D64">
        <w:t>a</w:t>
      </w:r>
      <w:r w:rsidRPr="00412D64">
        <w:t>kadaki kimselerden alıyordu. Ayrıca o, "</w:t>
      </w:r>
      <w:proofErr w:type="spellStart"/>
      <w:r w:rsidRPr="00412D64">
        <w:t>zenginler"le</w:t>
      </w:r>
      <w:proofErr w:type="spellEnd"/>
      <w:r w:rsidRPr="00412D64">
        <w:t xml:space="preserve"> "fakirler" ar</w:t>
      </w:r>
      <w:r w:rsidRPr="00412D64">
        <w:t>a</w:t>
      </w:r>
      <w:r w:rsidRPr="00412D64">
        <w:t>sındakinden çok, "</w:t>
      </w:r>
      <w:proofErr w:type="spellStart"/>
      <w:r w:rsidRPr="00412D64">
        <w:t>zenginler"le</w:t>
      </w:r>
      <w:proofErr w:type="spellEnd"/>
      <w:r w:rsidRPr="00412D64">
        <w:t xml:space="preserve"> "orta hall</w:t>
      </w:r>
      <w:r w:rsidRPr="00412D64">
        <w:t>i</w:t>
      </w:r>
      <w:r w:rsidRPr="00412D64">
        <w:t>ler" arasındaki bir mücadele idi</w:t>
      </w:r>
      <w:r>
        <w:t>.</w:t>
      </w:r>
      <w:r w:rsidRPr="00412D64">
        <w:rPr>
          <w:rStyle w:val="SonnotBavurusu"/>
          <w:color w:val="000000"/>
        </w:rPr>
        <w:endnoteReference w:id="8"/>
      </w:r>
      <w:r w:rsidRPr="00412D64">
        <w:t xml:space="preserve"> </w:t>
      </w:r>
    </w:p>
    <w:p w:rsidR="00E84C6A" w:rsidRPr="00412D64" w:rsidRDefault="00E84C6A" w:rsidP="00E84C6A">
      <w:pPr>
        <w:spacing w:before="120" w:line="250" w:lineRule="exact"/>
      </w:pPr>
      <w:r w:rsidRPr="00412D64">
        <w:t xml:space="preserve">Yukarıda iki genel çizgiyle belirginleşen dinlerin ilk bağlılarının içinden çıktığı sosyal tabakalar, </w:t>
      </w:r>
      <w:r>
        <w:t>birey</w:t>
      </w:r>
      <w:r w:rsidRPr="00412D64">
        <w:t>lerin irad</w:t>
      </w:r>
      <w:r w:rsidRPr="00412D64">
        <w:t>e</w:t>
      </w:r>
      <w:r w:rsidRPr="00412D64">
        <w:t>lerinden bağımsız hareket ettikleri (veya oraya doğru sürü</w:t>
      </w:r>
      <w:r w:rsidRPr="00412D64">
        <w:t>k</w:t>
      </w:r>
      <w:r w:rsidRPr="00412D64">
        <w:t xml:space="preserve">lendikleri yığınlar, </w:t>
      </w:r>
      <w:r w:rsidRPr="00412D64">
        <w:lastRenderedPageBreak/>
        <w:t>kalabalıklar gibi) bir grup niteliği taş</w:t>
      </w:r>
      <w:r w:rsidRPr="00412D64">
        <w:t>ı</w:t>
      </w:r>
      <w:r w:rsidRPr="00412D64">
        <w:t>maz. Dinlerin bu ilk cemaatleri kişisel tercihe dayanan c</w:t>
      </w:r>
      <w:r w:rsidRPr="00412D64">
        <w:t>e</w:t>
      </w:r>
      <w:r w:rsidRPr="00412D64">
        <w:t xml:space="preserve">maatlerdir. </w:t>
      </w:r>
      <w:r>
        <w:t>Burada bireyler, t</w:t>
      </w:r>
      <w:r w:rsidRPr="00412D64">
        <w:t xml:space="preserve">esadüfen, siyasi </w:t>
      </w:r>
      <w:r>
        <w:t>zorunluluklarla</w:t>
      </w:r>
      <w:r w:rsidRPr="00412D64">
        <w:t xml:space="preserve"> veya doğum</w:t>
      </w:r>
      <w:r>
        <w:t xml:space="preserve"> yoluyla</w:t>
      </w:r>
      <w:r w:rsidRPr="00412D64">
        <w:t>, kişisel seçimleri</w:t>
      </w:r>
      <w:r w:rsidRPr="00412D64">
        <w:t>n</w:t>
      </w:r>
      <w:r w:rsidRPr="00412D64">
        <w:t>den ve iradelerinden bağımsız olarak bir araya gelmemi</w:t>
      </w:r>
      <w:r w:rsidRPr="00412D64">
        <w:t>ş</w:t>
      </w:r>
      <w:r w:rsidRPr="00412D64">
        <w:t>lerdir. Aksine onlar, bilinçli ve ki</w:t>
      </w:r>
      <w:r>
        <w:t xml:space="preserve">şisel tercihle bir araya gelmiş, </w:t>
      </w:r>
      <w:r w:rsidRPr="00412D64">
        <w:t xml:space="preserve">bu tür bir dinî gruba </w:t>
      </w:r>
      <w:r>
        <w:t>katılmaya</w:t>
      </w:r>
      <w:r w:rsidRPr="00412D64">
        <w:t xml:space="preserve"> karar vermişlerdir. Bunun için de bu doğal sosyal tabakalar, radi</w:t>
      </w:r>
      <w:r>
        <w:t>kaldir. Ba</w:t>
      </w:r>
      <w:r>
        <w:t>ş</w:t>
      </w:r>
      <w:r>
        <w:t>ka bir ifadeyle</w:t>
      </w:r>
      <w:r w:rsidRPr="00412D64">
        <w:t xml:space="preserve">, din temeli üzerindeki hayatlarını orta yoldan uzak, </w:t>
      </w:r>
      <w:proofErr w:type="spellStart"/>
      <w:r w:rsidRPr="00412D64">
        <w:t>rijit</w:t>
      </w:r>
      <w:proofErr w:type="spellEnd"/>
      <w:r w:rsidRPr="00412D64">
        <w:t xml:space="preserve"> çizgilere otu</w:t>
      </w:r>
      <w:r w:rsidRPr="00412D64">
        <w:t>r</w:t>
      </w:r>
      <w:r w:rsidRPr="00412D64">
        <w:t>turlar. Çünkü onlar, me</w:t>
      </w:r>
      <w:r w:rsidRPr="00412D64">
        <w:t>v</w:t>
      </w:r>
      <w:r w:rsidRPr="00412D64">
        <w:t>cut toplumu, kültürünü ve dünyayı kınamaktadır</w:t>
      </w:r>
      <w:r>
        <w:t>.</w:t>
      </w:r>
      <w:r w:rsidRPr="00412D64">
        <w:rPr>
          <w:rStyle w:val="SonnotBavurusu"/>
          <w:color w:val="000000"/>
        </w:rPr>
        <w:endnoteReference w:id="9"/>
      </w:r>
      <w:r w:rsidRPr="00412D64">
        <w:t xml:space="preserve"> </w:t>
      </w:r>
    </w:p>
    <w:p w:rsidR="00E84C6A" w:rsidRPr="00412D64" w:rsidRDefault="00E84C6A" w:rsidP="00E84C6A">
      <w:pPr>
        <w:spacing w:before="120" w:line="260" w:lineRule="exact"/>
      </w:pPr>
      <w:r w:rsidRPr="00412D64">
        <w:t>Bu şekilde, dinlerin, geleneksel olana muha</w:t>
      </w:r>
      <w:r>
        <w:t>lefet ed</w:t>
      </w:r>
      <w:r>
        <w:t>e</w:t>
      </w:r>
      <w:r>
        <w:t>rek doğuşu ve büyümesi, dinlerin tarihin</w:t>
      </w:r>
      <w:r w:rsidRPr="00412D64">
        <w:t>de önemli bir dönüm noktasıdır. Geleneksel din</w:t>
      </w:r>
      <w:r>
        <w:fldChar w:fldCharType="begin"/>
      </w:r>
      <w:r>
        <w:instrText xml:space="preserve"> XE "</w:instrText>
      </w:r>
      <w:r w:rsidRPr="00A50B4C">
        <w:instrText>Geleneksel din</w:instrText>
      </w:r>
      <w:r>
        <w:instrText xml:space="preserve">" </w:instrText>
      </w:r>
      <w:r>
        <w:fldChar w:fldCharType="end"/>
      </w:r>
      <w:r w:rsidRPr="00412D64">
        <w:t>ler karizmatik dinî ö</w:t>
      </w:r>
      <w:r w:rsidRPr="00412D64">
        <w:t>n</w:t>
      </w:r>
      <w:r w:rsidRPr="00412D64">
        <w:t>der</w:t>
      </w:r>
      <w:r>
        <w:t xml:space="preserve">lere sahip olmakla övünseler de, </w:t>
      </w:r>
      <w:r w:rsidRPr="00412D64">
        <w:t>bu liderler çoğu z</w:t>
      </w:r>
      <w:r w:rsidRPr="00412D64">
        <w:t>a</w:t>
      </w:r>
      <w:r w:rsidRPr="00412D64">
        <w:t xml:space="preserve">man kendi milleti ve kabilesinin dinî zihniyetini </w:t>
      </w:r>
      <w:r>
        <w:t>bütünü</w:t>
      </w:r>
      <w:r>
        <w:t>y</w:t>
      </w:r>
      <w:r>
        <w:t>le muhafaza etme</w:t>
      </w:r>
      <w:r w:rsidRPr="00412D64">
        <w:t xml:space="preserve"> eğilimindedir. Bu </w:t>
      </w:r>
      <w:r>
        <w:t>nedenle</w:t>
      </w:r>
      <w:r w:rsidRPr="00412D64">
        <w:t xml:space="preserve"> onlarda g</w:t>
      </w:r>
      <w:r w:rsidRPr="00412D64">
        <w:t>e</w:t>
      </w:r>
      <w:r w:rsidRPr="00412D64">
        <w:t xml:space="preserve">leneğin onayladığı ve yerleştirdiği bütün güçlere karşı bir muhalefet </w:t>
      </w:r>
      <w:r>
        <w:t xml:space="preserve">söz konusu </w:t>
      </w:r>
      <w:r w:rsidRPr="00412D64">
        <w:t>değildir. Buna karşılık kendi dinî tecrübelerinin kılavuzl</w:t>
      </w:r>
      <w:r w:rsidRPr="00412D64">
        <w:t>u</w:t>
      </w:r>
      <w:r w:rsidRPr="00412D64">
        <w:t>ğunda yürüyen liderler, kendi önerdikleri alternatif toplu</w:t>
      </w:r>
      <w:r w:rsidRPr="00412D64">
        <w:t>m</w:t>
      </w:r>
      <w:r w:rsidRPr="00412D64">
        <w:t xml:space="preserve">sal sistemlerini ve dünya görüşlerini yayarak mevcut sistemi dönüştürmek zorunda kalmışlardır. Kendileri ve taraftarları (Hz. Muhammed, Hz. İsa, Zerdüşt, Mani, </w:t>
      </w:r>
      <w:proofErr w:type="spellStart"/>
      <w:r w:rsidRPr="00412D64">
        <w:t>Vardhamana</w:t>
      </w:r>
      <w:proofErr w:type="spellEnd"/>
      <w:r w:rsidRPr="00412D64">
        <w:t xml:space="preserve"> vb.) mevcut devletin bazı prensipleri, kurumları ve temsilcileri ile ihtilafa düşmüş ve kıyasıya mücadele etmişlerdir. Böyle bir a</w:t>
      </w:r>
      <w:r w:rsidRPr="00412D64">
        <w:t>n</w:t>
      </w:r>
      <w:r w:rsidRPr="00412D64">
        <w:t>laşmazlık sonucunda devlet karşısında dinî gruplar, birb</w:t>
      </w:r>
      <w:r w:rsidRPr="00412D64">
        <w:t>i</w:t>
      </w:r>
      <w:r w:rsidRPr="00412D64">
        <w:t xml:space="preserve">rinden farklı tutumlarla karakterize olur. </w:t>
      </w:r>
    </w:p>
    <w:p w:rsidR="00E84C6A" w:rsidRDefault="00E84C6A" w:rsidP="00E84C6A">
      <w:pPr>
        <w:spacing w:before="120" w:line="260" w:lineRule="exact"/>
      </w:pPr>
      <w:r>
        <w:t>Buradaki en belirgin tutum</w:t>
      </w:r>
      <w:r w:rsidRPr="00412D64">
        <w:t>, dünyayla ilişkisini kesmiş pek çok zahit kişi ve topluluklarla bazı mezhep taraftarları</w:t>
      </w:r>
      <w:r w:rsidRPr="00412D64">
        <w:t>n</w:t>
      </w:r>
      <w:r w:rsidRPr="00412D64">
        <w:t>da, genel yaşam tarzına ve ilkelerine boyun</w:t>
      </w:r>
      <w:r>
        <w:t xml:space="preserve"> eğme ve kayı</w:t>
      </w:r>
      <w:r>
        <w:t>t</w:t>
      </w:r>
      <w:r>
        <w:t xml:space="preserve">sızlık şeklinde ortaya çıkar. </w:t>
      </w:r>
      <w:r w:rsidRPr="00412D64">
        <w:t>Bu durum, çoğunlu</w:t>
      </w:r>
      <w:r w:rsidRPr="00412D64">
        <w:t>k</w:t>
      </w:r>
      <w:r w:rsidRPr="00412D64">
        <w:t>la "pasif direniş" ve sisteme bağlılıklarını dile getirmeyi ya da "sist</w:t>
      </w:r>
      <w:r w:rsidRPr="00412D64">
        <w:t>e</w:t>
      </w:r>
      <w:r w:rsidRPr="00412D64">
        <w:t xml:space="preserve">me bağlılık yemini etmeyi </w:t>
      </w:r>
      <w:proofErr w:type="spellStart"/>
      <w:r w:rsidRPr="00412D64">
        <w:t>reddetmek"le</w:t>
      </w:r>
      <w:proofErr w:type="spellEnd"/>
      <w:r w:rsidRPr="00412D64">
        <w:t xml:space="preserve"> k</w:t>
      </w:r>
      <w:r w:rsidRPr="00412D64">
        <w:t>a</w:t>
      </w:r>
      <w:r w:rsidRPr="00412D64">
        <w:t xml:space="preserve">rakterize olur. </w:t>
      </w:r>
      <w:r>
        <w:t>Bir diğer tutum ise,</w:t>
      </w:r>
      <w:r w:rsidRPr="00412D64">
        <w:t xml:space="preserve"> devleti kötülüğün varlık kazanması ve s</w:t>
      </w:r>
      <w:r w:rsidRPr="00412D64">
        <w:t>o</w:t>
      </w:r>
      <w:r w:rsidRPr="00412D64">
        <w:t>mutlaşması olarak görmekten ibarettir. Devletin, yeni gr</w:t>
      </w:r>
      <w:r w:rsidRPr="00412D64">
        <w:t>u</w:t>
      </w:r>
      <w:r w:rsidRPr="00412D64">
        <w:t>bun din veya ibadet hürriyetini te</w:t>
      </w:r>
      <w:r w:rsidRPr="00412D64">
        <w:t>h</w:t>
      </w:r>
      <w:r w:rsidRPr="00412D64">
        <w:t>dit ettiği ya da mevcut sistemin kendi inancı ve ibadetl</w:t>
      </w:r>
      <w:r w:rsidRPr="00412D64">
        <w:t>e</w:t>
      </w:r>
      <w:r w:rsidRPr="00412D64">
        <w:t>rini dayattığı bu durumda sisteme genelde aktif bir muhalefet baş gösterir. Bunun s</w:t>
      </w:r>
      <w:r w:rsidRPr="00412D64">
        <w:t>o</w:t>
      </w:r>
      <w:r w:rsidRPr="00412D64">
        <w:t>nucunda müfrit taraftarlar, gerektiğinde kendilerini rahatsız</w:t>
      </w:r>
      <w:r>
        <w:t xml:space="preserve"> eden/</w:t>
      </w:r>
      <w:r w:rsidRPr="00412D64">
        <w:t>tehdit eden ik</w:t>
      </w:r>
      <w:r>
        <w:t>tidarı yıkmak için kan dökmeye bil</w:t>
      </w:r>
      <w:r w:rsidRPr="00412D64">
        <w:t>e h</w:t>
      </w:r>
      <w:r w:rsidRPr="00412D64">
        <w:t>a</w:t>
      </w:r>
      <w:r w:rsidRPr="00412D64">
        <w:t>zırdır</w:t>
      </w:r>
      <w:r>
        <w:t>.</w:t>
      </w:r>
      <w:r w:rsidRPr="00412D64">
        <w:rPr>
          <w:rStyle w:val="SonnotBavurusu"/>
          <w:color w:val="000000"/>
        </w:rPr>
        <w:endnoteReference w:id="10"/>
      </w:r>
    </w:p>
    <w:p w:rsidR="00E84C6A" w:rsidRPr="00516586" w:rsidRDefault="00E84C6A" w:rsidP="00E84C6A">
      <w:pPr>
        <w:pStyle w:val="Balk1"/>
        <w:spacing w:line="260" w:lineRule="exact"/>
      </w:pPr>
      <w:bookmarkStart w:id="3" w:name="_Toc192673899"/>
      <w:bookmarkStart w:id="4" w:name="_Toc192760846"/>
      <w:bookmarkStart w:id="5" w:name="_Toc192999911"/>
      <w:r>
        <w:t>2. Dini Liderler v</w:t>
      </w:r>
      <w:r w:rsidRPr="00CB1BA4">
        <w:t>e Karizma</w:t>
      </w:r>
      <w:bookmarkEnd w:id="3"/>
      <w:bookmarkEnd w:id="4"/>
      <w:bookmarkEnd w:id="5"/>
      <w:r>
        <w:fldChar w:fldCharType="begin"/>
      </w:r>
      <w:r>
        <w:instrText xml:space="preserve"> XE "</w:instrText>
      </w:r>
      <w:r w:rsidRPr="00A50B4C">
        <w:instrText>Karizma</w:instrText>
      </w:r>
      <w:r>
        <w:instrText xml:space="preserve">" </w:instrText>
      </w:r>
      <w:r>
        <w:fldChar w:fldCharType="end"/>
      </w:r>
    </w:p>
    <w:p w:rsidR="00E84C6A" w:rsidRDefault="00E84C6A" w:rsidP="00E84C6A">
      <w:pPr>
        <w:spacing w:before="120" w:line="252" w:lineRule="exact"/>
      </w:pPr>
      <w:r w:rsidRPr="00412D64">
        <w:t>"Karizma</w:t>
      </w:r>
      <w:r>
        <w:fldChar w:fldCharType="begin"/>
      </w:r>
      <w:r>
        <w:instrText xml:space="preserve"> XE "</w:instrText>
      </w:r>
      <w:r w:rsidRPr="00A50B4C">
        <w:instrText>Karizma</w:instrText>
      </w:r>
      <w:r>
        <w:instrText xml:space="preserve">" </w:instrText>
      </w:r>
      <w:r>
        <w:fldChar w:fldCharType="end"/>
      </w:r>
      <w:r w:rsidRPr="00412D64">
        <w:t xml:space="preserve">" terimi sosyolojiye, </w:t>
      </w:r>
      <w:proofErr w:type="spellStart"/>
      <w:r w:rsidRPr="00412D64">
        <w:t>Weber</w:t>
      </w:r>
      <w:proofErr w:type="spellEnd"/>
      <w:r w:rsidRPr="00412D64">
        <w:t xml:space="preserve"> tarafından dâhil edilmiştir. O, bu terimi, yoğun olarak, iktidarın ve gücün meşrulaştırılma türlerini açıklamak için kurduğu hâkimiyet sosyolojisi alanında kullanır. Dinî otoriteyi kullanma yetk</w:t>
      </w:r>
      <w:r w:rsidRPr="00412D64">
        <w:t>i</w:t>
      </w:r>
      <w:r w:rsidRPr="00412D64">
        <w:t xml:space="preserve">sini ellerinde bulunduran şahısların, bunu, </w:t>
      </w:r>
      <w:proofErr w:type="gramStart"/>
      <w:r w:rsidRPr="00412D64">
        <w:t>karizma</w:t>
      </w:r>
      <w:proofErr w:type="gramEnd"/>
      <w:r w:rsidRPr="00412D64">
        <w:t xml:space="preserve"> sayesinde kullandığını belirten </w:t>
      </w:r>
      <w:proofErr w:type="spellStart"/>
      <w:r w:rsidRPr="00412D64">
        <w:t>Weber</w:t>
      </w:r>
      <w:proofErr w:type="spellEnd"/>
      <w:r w:rsidRPr="00412D64">
        <w:t>, hakimiyet ilişkilerini meşrula</w:t>
      </w:r>
      <w:r w:rsidRPr="00412D64">
        <w:t>ş</w:t>
      </w:r>
      <w:r w:rsidRPr="00412D64">
        <w:t>tırmada üç sistemin bulunduğunu, bunların sonuncusunun da karizmatik hakimiyet olduğunu iddia eder. Bunun bariz va</w:t>
      </w:r>
      <w:r w:rsidRPr="00412D64">
        <w:t>s</w:t>
      </w:r>
      <w:r w:rsidRPr="00412D64">
        <w:t>fının, diğer hâkimiyet tü</w:t>
      </w:r>
      <w:r w:rsidRPr="00412D64">
        <w:t>r</w:t>
      </w:r>
      <w:r w:rsidRPr="00412D64">
        <w:t>lerinde olduğu gibi yasalara veya geleneklere değil, ke</w:t>
      </w:r>
      <w:r w:rsidRPr="00412D64">
        <w:t>n</w:t>
      </w:r>
      <w:r w:rsidRPr="00412D64">
        <w:t>disine kahramanlık, kutsallık veya olağanüstü nitelikler atfedilen bir şahsa bağlılık olduğunu vurgular</w:t>
      </w:r>
      <w:r>
        <w:t>.</w:t>
      </w:r>
      <w:r w:rsidRPr="00412D64">
        <w:rPr>
          <w:rStyle w:val="SonnotBavurusu"/>
          <w:color w:val="000000"/>
        </w:rPr>
        <w:endnoteReference w:id="11"/>
      </w:r>
      <w:r w:rsidRPr="00412D64">
        <w:t xml:space="preserve"> </w:t>
      </w:r>
      <w:proofErr w:type="spellStart"/>
      <w:r w:rsidRPr="00412D64">
        <w:t>Weber</w:t>
      </w:r>
      <w:proofErr w:type="spellEnd"/>
      <w:r w:rsidRPr="00412D64">
        <w:t xml:space="preserve"> ayrıca </w:t>
      </w:r>
      <w:proofErr w:type="gramStart"/>
      <w:r w:rsidRPr="00412D64">
        <w:t>karizma</w:t>
      </w:r>
      <w:proofErr w:type="gramEnd"/>
      <w:r w:rsidRPr="00412D64">
        <w:t xml:space="preserve"> kavramını, "şahsi karizma" ve "fonksiyon karizması"</w:t>
      </w:r>
      <w:r>
        <w:t xml:space="preserve"> olarak iki bölümde ele al</w:t>
      </w:r>
      <w:r w:rsidRPr="00412D64">
        <w:t>ır. Dinî otoriteyi ku</w:t>
      </w:r>
      <w:r w:rsidRPr="00412D64">
        <w:t>l</w:t>
      </w:r>
      <w:r w:rsidRPr="00412D64">
        <w:t xml:space="preserve">lananları çeşitli niteliklerine göre tasnif eden </w:t>
      </w:r>
      <w:proofErr w:type="spellStart"/>
      <w:r w:rsidRPr="00412D64">
        <w:t>Wach</w:t>
      </w:r>
      <w:proofErr w:type="spellEnd"/>
      <w:r w:rsidRPr="00412D64">
        <w:t xml:space="preserve">, ilgili bölümde, </w:t>
      </w:r>
      <w:proofErr w:type="spellStart"/>
      <w:r w:rsidRPr="00412D64">
        <w:t>Weber'in</w:t>
      </w:r>
      <w:proofErr w:type="spellEnd"/>
      <w:r w:rsidRPr="00412D64">
        <w:t xml:space="preserve"> dinî otorite tiplerini ilk si</w:t>
      </w:r>
      <w:r w:rsidRPr="00412D64">
        <w:t>s</w:t>
      </w:r>
      <w:r w:rsidRPr="00412D64">
        <w:t xml:space="preserve">tematik incelemesine dayanmıştır. Burada </w:t>
      </w:r>
      <w:proofErr w:type="spellStart"/>
      <w:r w:rsidRPr="00412D64">
        <w:t>Wach</w:t>
      </w:r>
      <w:proofErr w:type="spellEnd"/>
      <w:r w:rsidRPr="00412D64">
        <w:t>,</w:t>
      </w:r>
      <w:r>
        <w:t xml:space="preserve"> </w:t>
      </w:r>
      <w:proofErr w:type="spellStart"/>
      <w:r>
        <w:t>Weber'in</w:t>
      </w:r>
      <w:proofErr w:type="spellEnd"/>
      <w:r>
        <w:t xml:space="preserve"> bu iki tip </w:t>
      </w:r>
      <w:proofErr w:type="gramStart"/>
      <w:r>
        <w:t>karizma</w:t>
      </w:r>
      <w:proofErr w:type="gramEnd"/>
      <w:r>
        <w:t xml:space="preserve"> ay</w:t>
      </w:r>
      <w:r w:rsidRPr="00412D64">
        <w:t>rımına atıfta bulunup ikisinin farklarına temas ederken, şahsi karizmanın, dinin kaynağıyla ilgili olduğunu ve dinin ilk ortaya çıkışı sırasında yani ilk dinî tecrübeyi yaşayanın şahsıyla belirdiğini, fonksiyon karizm</w:t>
      </w:r>
      <w:r w:rsidRPr="00412D64">
        <w:t>a</w:t>
      </w:r>
      <w:r w:rsidRPr="00412D64">
        <w:t xml:space="preserve">sının ise daha ziyade dinî grupların tarihi içerisinde sonradan </w:t>
      </w:r>
      <w:r>
        <w:t>önem kazandığını ifade ede</w:t>
      </w:r>
      <w:r w:rsidRPr="00412D64">
        <w:t xml:space="preserve">r. Şahsi </w:t>
      </w:r>
      <w:proofErr w:type="gramStart"/>
      <w:r w:rsidRPr="00412D64">
        <w:t>karizma</w:t>
      </w:r>
      <w:proofErr w:type="gramEnd"/>
      <w:r w:rsidRPr="00412D64">
        <w:t xml:space="preserve"> </w:t>
      </w:r>
      <w:r>
        <w:t>daha ziyade heyecana hitap edip</w:t>
      </w:r>
      <w:r w:rsidRPr="00412D64">
        <w:t xml:space="preserve"> </w:t>
      </w:r>
      <w:proofErr w:type="spellStart"/>
      <w:r w:rsidRPr="00412D64">
        <w:t>mü'minin</w:t>
      </w:r>
      <w:proofErr w:type="spellEnd"/>
      <w:r w:rsidRPr="00412D64">
        <w:t xml:space="preserve"> toptan itaatini gerektirdiği halde fonksiyon karizması daha akli olup, sınırlı ve ölçülü bir itaat ister</w:t>
      </w:r>
      <w:r>
        <w:t>.</w:t>
      </w:r>
      <w:r w:rsidRPr="00412D64">
        <w:rPr>
          <w:rStyle w:val="SonnotBavurusu"/>
          <w:color w:val="000000"/>
        </w:rPr>
        <w:endnoteReference w:id="12"/>
      </w:r>
    </w:p>
    <w:p w:rsidR="00E84C6A" w:rsidRDefault="00E84C6A" w:rsidP="00E84C6A">
      <w:pPr>
        <w:spacing w:before="120" w:line="252" w:lineRule="exact"/>
      </w:pPr>
      <w:r w:rsidRPr="00412D64">
        <w:t>Yeni bir dinî mesaj ile harekete geçirilen kitleler tar</w:t>
      </w:r>
      <w:r w:rsidRPr="00412D64">
        <w:t>a</w:t>
      </w:r>
      <w:r w:rsidRPr="00412D64">
        <w:t xml:space="preserve">fından kendisine dinî bir </w:t>
      </w:r>
      <w:proofErr w:type="gramStart"/>
      <w:r w:rsidRPr="00412D64">
        <w:t>karizma</w:t>
      </w:r>
      <w:proofErr w:type="gramEnd"/>
      <w:r w:rsidRPr="00412D64">
        <w:t xml:space="preserve"> atfedilen şahıslar, bu yolla bir dinî otoriteyi de kullanırlar. Bu tür şahıslara, ister </w:t>
      </w:r>
      <w:r>
        <w:t>bire</w:t>
      </w:r>
      <w:r>
        <w:t>y</w:t>
      </w:r>
      <w:r>
        <w:t>sel</w:t>
      </w:r>
      <w:r w:rsidRPr="00412D64">
        <w:t>, ister gruplaşmış pek çok ilkel kabilede rastlanmaktadır. İnsanlar ile ruhlar arasında aracılık e</w:t>
      </w:r>
      <w:r w:rsidRPr="00412D64">
        <w:t>t</w:t>
      </w:r>
      <w:r w:rsidRPr="00412D64">
        <w:t>meyi meslek haline getirmiş olanlara ve onları bu ilişkiye elverişli kılmak am</w:t>
      </w:r>
      <w:r w:rsidRPr="00412D64">
        <w:t>a</w:t>
      </w:r>
      <w:r w:rsidRPr="00412D64">
        <w:t>cıyla bazı ayinleri icra edenlere ilkel toplumlarda farklı d</w:t>
      </w:r>
      <w:r w:rsidRPr="00412D64">
        <w:t>e</w:t>
      </w:r>
      <w:r w:rsidRPr="00412D64">
        <w:t>recelerde saygı gösterilir. Hemen bütün dinî millî cemaatle</w:t>
      </w:r>
      <w:r w:rsidRPr="00412D64">
        <w:t>r</w:t>
      </w:r>
      <w:r w:rsidRPr="00412D64">
        <w:t>de dinî bir güce sahip olan ve dinî tasavvurlar üzerinde t</w:t>
      </w:r>
      <w:r w:rsidRPr="00412D64">
        <w:t>e</w:t>
      </w:r>
      <w:r w:rsidRPr="00412D64">
        <w:t xml:space="preserve">mellenen birçok egemenlik şekli görülmektedir. Geçmiş dönemlerde egemenlik şekilleriyle ilgili tüm </w:t>
      </w:r>
      <w:proofErr w:type="spellStart"/>
      <w:r w:rsidRPr="00412D64">
        <w:t>icraatların</w:t>
      </w:r>
      <w:proofErr w:type="spellEnd"/>
      <w:r w:rsidRPr="00412D64">
        <w:t xml:space="preserve"> kab</w:t>
      </w:r>
      <w:r w:rsidRPr="00412D64">
        <w:t>i</w:t>
      </w:r>
      <w:r w:rsidRPr="00412D64">
        <w:t>le şefi ya da kralın şahsında toplandığı anlaşılmaktadır</w:t>
      </w:r>
      <w:r>
        <w:t>.</w:t>
      </w:r>
      <w:r w:rsidRPr="00412D64">
        <w:rPr>
          <w:rStyle w:val="SonnotBavurusu"/>
          <w:color w:val="000000"/>
        </w:rPr>
        <w:endnoteReference w:id="13"/>
      </w:r>
    </w:p>
    <w:p w:rsidR="00E84C6A" w:rsidRDefault="00E84C6A" w:rsidP="00E84C6A">
      <w:pPr>
        <w:spacing w:before="120"/>
      </w:pPr>
      <w:r w:rsidRPr="00412D64">
        <w:t>Çoğunlukla dinî tecrübe ile ilgili otorite, bir hazırla</w:t>
      </w:r>
      <w:r w:rsidRPr="00412D64">
        <w:t>n</w:t>
      </w:r>
      <w:r w:rsidRPr="00412D64">
        <w:t xml:space="preserve">maya veya mesleki </w:t>
      </w:r>
      <w:proofErr w:type="gramStart"/>
      <w:r w:rsidRPr="00412D64">
        <w:t>formasyona</w:t>
      </w:r>
      <w:proofErr w:type="gramEnd"/>
      <w:r w:rsidRPr="00412D64">
        <w:t xml:space="preserve"> değil, kişisel bir k</w:t>
      </w:r>
      <w:r w:rsidRPr="00412D64">
        <w:t>a</w:t>
      </w:r>
      <w:r w:rsidRPr="00412D64">
        <w:t xml:space="preserve">rizmaya (ilahi </w:t>
      </w:r>
      <w:proofErr w:type="spellStart"/>
      <w:r w:rsidRPr="00412D64">
        <w:t>lutfa</w:t>
      </w:r>
      <w:proofErr w:type="spellEnd"/>
      <w:r w:rsidRPr="00412D64">
        <w:t xml:space="preserve">) bağlıdır. Bu </w:t>
      </w:r>
      <w:r>
        <w:t xml:space="preserve">tür bir </w:t>
      </w:r>
      <w:proofErr w:type="gramStart"/>
      <w:r w:rsidRPr="00412D64">
        <w:t>karizm</w:t>
      </w:r>
      <w:r>
        <w:t>aya</w:t>
      </w:r>
      <w:proofErr w:type="gramEnd"/>
      <w:r>
        <w:t xml:space="preserve"> sahip kişi</w:t>
      </w:r>
      <w:r w:rsidRPr="00412D64">
        <w:t>, kend</w:t>
      </w:r>
      <w:r w:rsidRPr="00412D64">
        <w:t>i</w:t>
      </w:r>
      <w:r w:rsidRPr="00412D64">
        <w:t xml:space="preserve">siyle ilişki atfedilen ruh </w:t>
      </w:r>
      <w:r>
        <w:t xml:space="preserve">veya ilah aracılığıyla konuşan biri </w:t>
      </w:r>
      <w:r w:rsidRPr="00412D64">
        <w:t xml:space="preserve">olarak </w:t>
      </w:r>
      <w:r>
        <w:t>görülür.</w:t>
      </w:r>
      <w:r w:rsidRPr="00412D64">
        <w:t xml:space="preserve"> "Karizmatik peygamberlik" ile "kişisel anormallik", çoğu zaman </w:t>
      </w:r>
      <w:r>
        <w:t>birbiriyle çakışır</w:t>
      </w:r>
      <w:r w:rsidRPr="00412D64">
        <w:t>. Dostoyevski, Doğu Hıristiyanlarının, "Tanrı</w:t>
      </w:r>
      <w:r>
        <w:fldChar w:fldCharType="begin"/>
      </w:r>
      <w:r>
        <w:instrText xml:space="preserve"> XE "</w:instrText>
      </w:r>
      <w:r w:rsidRPr="00A50B4C">
        <w:instrText>Tanrı</w:instrText>
      </w:r>
      <w:r>
        <w:instrText xml:space="preserve">" </w:instrText>
      </w:r>
      <w:r>
        <w:fldChar w:fldCharType="end"/>
      </w:r>
      <w:r w:rsidRPr="00412D64">
        <w:t xml:space="preserve">'nın </w:t>
      </w:r>
      <w:proofErr w:type="spellStart"/>
      <w:r w:rsidRPr="00412D64">
        <w:t>Meczupları"na</w:t>
      </w:r>
      <w:proofErr w:type="spellEnd"/>
      <w:r w:rsidRPr="00412D64">
        <w:t xml:space="preserve"> olan sa</w:t>
      </w:r>
      <w:r w:rsidRPr="00412D64">
        <w:t>y</w:t>
      </w:r>
      <w:r w:rsidRPr="00412D64">
        <w:t xml:space="preserve">gısını, </w:t>
      </w:r>
      <w:r w:rsidRPr="00412D64">
        <w:lastRenderedPageBreak/>
        <w:t xml:space="preserve">romanlarında tasvir etmektedir. Bununla birlikte dinî otorite, her zaman için olağanüstü bir </w:t>
      </w:r>
      <w:proofErr w:type="spellStart"/>
      <w:r w:rsidRPr="00412D64">
        <w:t>psiko</w:t>
      </w:r>
      <w:proofErr w:type="spellEnd"/>
      <w:r w:rsidRPr="00412D64">
        <w:t>-fizyolojik yap</w:t>
      </w:r>
      <w:r w:rsidRPr="00412D64">
        <w:t>ı</w:t>
      </w:r>
      <w:r w:rsidRPr="00412D64">
        <w:t>ya bağlı değildir. Manevi, zihnî ve ahlâkî büyük yetenekler, din önderinin çevresi tarafından saygı görmesine ve yüce</w:t>
      </w:r>
      <w:r w:rsidRPr="00412D64">
        <w:t>l</w:t>
      </w:r>
      <w:r w:rsidRPr="00412D64">
        <w:t xml:space="preserve">tilmesine katkı sağlayabilir. Özellikle yaratıcı manevilik, çok az bulunan bir vasıftır ve dinî </w:t>
      </w:r>
      <w:proofErr w:type="gramStart"/>
      <w:r>
        <w:t>prestijin</w:t>
      </w:r>
      <w:proofErr w:type="gramEnd"/>
      <w:r>
        <w:t xml:space="preserve"> artmasına katkıda bulunur</w:t>
      </w:r>
      <w:r w:rsidRPr="00412D64">
        <w:t xml:space="preserve">. </w:t>
      </w:r>
      <w:r>
        <w:t>Bu dini ö</w:t>
      </w:r>
      <w:r>
        <w:t>n</w:t>
      </w:r>
      <w:r>
        <w:t xml:space="preserve">derlere, </w:t>
      </w:r>
      <w:r w:rsidRPr="00412D64">
        <w:t>kolaylıkla bir başka dünyayla temas ve ilişki atfedilebilir</w:t>
      </w:r>
      <w:r>
        <w:t>.</w:t>
      </w:r>
      <w:r w:rsidRPr="00412D64">
        <w:rPr>
          <w:rStyle w:val="SonnotBavurusu"/>
          <w:color w:val="000000"/>
        </w:rPr>
        <w:endnoteReference w:id="14"/>
      </w:r>
    </w:p>
    <w:p w:rsidR="00E84C6A" w:rsidRPr="00412D64" w:rsidRDefault="00E84C6A" w:rsidP="00E84C6A">
      <w:pPr>
        <w:spacing w:before="120" w:line="256" w:lineRule="exact"/>
      </w:pPr>
      <w:r w:rsidRPr="00412D64">
        <w:t>Geçmiş dönemlerde idare etme kabiliyeti, ilâhî bir g</w:t>
      </w:r>
      <w:r w:rsidRPr="00412D64">
        <w:t>ö</w:t>
      </w:r>
      <w:r w:rsidRPr="00412D64">
        <w:t xml:space="preserve">rünüm şeklinde anlaşılmış ve ilâhî bir cevher (ya da </w:t>
      </w:r>
      <w:r>
        <w:t>Allah vergisi bir yetenek</w:t>
      </w:r>
      <w:r w:rsidRPr="00412D64">
        <w:t xml:space="preserve">) olarak tasvir edilmiştir. </w:t>
      </w:r>
      <w:r>
        <w:t>İster</w:t>
      </w:r>
      <w:r w:rsidRPr="00412D64">
        <w:t xml:space="preserve"> ilkel kabil</w:t>
      </w:r>
      <w:r w:rsidRPr="00412D64">
        <w:t>e</w:t>
      </w:r>
      <w:r w:rsidRPr="00412D64">
        <w:t>lerde olduğu gibi geçmiş dönem krallarının kurtuluş getir</w:t>
      </w:r>
      <w:r w:rsidRPr="00412D64">
        <w:t>e</w:t>
      </w:r>
      <w:r w:rsidRPr="00412D64">
        <w:t xml:space="preserve">rek gökten inmiş oldukları kabul edilsin, </w:t>
      </w:r>
      <w:r>
        <w:t>isterse</w:t>
      </w:r>
      <w:r w:rsidRPr="00412D64">
        <w:t xml:space="preserve"> kabile şefi ve krallarda karizmatik bir gücün old</w:t>
      </w:r>
      <w:r w:rsidRPr="00412D64">
        <w:t>u</w:t>
      </w:r>
      <w:r w:rsidRPr="00412D64">
        <w:t>ğu düşünülsün, her iki durumda da hükümdarın ilâhî bir güce</w:t>
      </w:r>
      <w:r>
        <w:t>/yeteneğe</w:t>
      </w:r>
      <w:r w:rsidRPr="00412D64">
        <w:t xml:space="preserve"> sahip old</w:t>
      </w:r>
      <w:r w:rsidRPr="00412D64">
        <w:t>u</w:t>
      </w:r>
      <w:r w:rsidRPr="00412D64">
        <w:t xml:space="preserve">ğuna inanılmaktadır. Mesela </w:t>
      </w:r>
      <w:proofErr w:type="spellStart"/>
      <w:r w:rsidRPr="00412D64">
        <w:t>Avesta'da</w:t>
      </w:r>
      <w:proofErr w:type="spellEnd"/>
      <w:r w:rsidRPr="00412D64">
        <w:t xml:space="preserve">, Eski </w:t>
      </w:r>
      <w:proofErr w:type="spellStart"/>
      <w:r w:rsidRPr="00412D64">
        <w:t>Farsça'da</w:t>
      </w:r>
      <w:proofErr w:type="spellEnd"/>
      <w:r w:rsidRPr="00412D64">
        <w:t xml:space="preserve"> "mu</w:t>
      </w:r>
      <w:r w:rsidRPr="00412D64">
        <w:t>t</w:t>
      </w:r>
      <w:r w:rsidRPr="00412D64">
        <w:t>luluk parıltısı" anlamına gelen "</w:t>
      </w:r>
      <w:proofErr w:type="spellStart"/>
      <w:r w:rsidRPr="00412D64">
        <w:t>chvarna</w:t>
      </w:r>
      <w:proofErr w:type="spellEnd"/>
      <w:r w:rsidRPr="00412D64">
        <w:t>" kavramına ras</w:t>
      </w:r>
      <w:r w:rsidRPr="00412D64">
        <w:t>t</w:t>
      </w:r>
      <w:r w:rsidRPr="00412D64">
        <w:t xml:space="preserve">lanmaktadır ki bu konuda </w:t>
      </w:r>
      <w:proofErr w:type="spellStart"/>
      <w:r w:rsidRPr="00412D64">
        <w:t>Lommel</w:t>
      </w:r>
      <w:proofErr w:type="spellEnd"/>
      <w:r w:rsidRPr="00412D64">
        <w:t xml:space="preserve"> şunları söyler: "Aslında mutluluk parıltısı, ilahi bir işaret ve herkesten önce kral o</w:t>
      </w:r>
      <w:r w:rsidRPr="00412D64">
        <w:t>l</w:t>
      </w:r>
      <w:r w:rsidRPr="00412D64">
        <w:t>maya davet edilen kişinin mistik farklılığıdır". Nihayet gizli bir gücün, mevcut kralın milletini yükselttiğine, onların işl</w:t>
      </w:r>
      <w:r w:rsidRPr="00412D64">
        <w:t>e</w:t>
      </w:r>
      <w:r w:rsidRPr="00412D64">
        <w:t xml:space="preserve">rini takdis ettiğine ve onlara </w:t>
      </w:r>
      <w:r>
        <w:t>bolluk</w:t>
      </w:r>
      <w:r w:rsidRPr="00412D64">
        <w:t xml:space="preserve"> </w:t>
      </w:r>
      <w:r>
        <w:t>getirdiğine</w:t>
      </w:r>
      <w:r w:rsidRPr="00412D64">
        <w:t xml:space="preserve"> inanılma</w:t>
      </w:r>
      <w:r w:rsidRPr="00412D64">
        <w:t>k</w:t>
      </w:r>
      <w:r w:rsidRPr="00412D64">
        <w:t>taydı. Kr</w:t>
      </w:r>
      <w:r w:rsidRPr="00412D64">
        <w:t>a</w:t>
      </w:r>
      <w:r w:rsidRPr="00412D64">
        <w:t xml:space="preserve">lın yardımıyla hububatın yeşerdiği ve balıkların ürediği düşünülmekteydi. </w:t>
      </w:r>
      <w:r>
        <w:t>Bununla birlikte</w:t>
      </w:r>
      <w:r w:rsidRPr="00412D64">
        <w:t xml:space="preserve"> savaşlardaki b</w:t>
      </w:r>
      <w:r w:rsidRPr="00412D64">
        <w:t>a</w:t>
      </w:r>
      <w:r w:rsidRPr="00412D64">
        <w:t xml:space="preserve">şarısızlık, </w:t>
      </w:r>
      <w:proofErr w:type="gramStart"/>
      <w:r w:rsidRPr="00412D64">
        <w:t>karizmanın</w:t>
      </w:r>
      <w:proofErr w:type="gramEnd"/>
      <w:r w:rsidRPr="00412D64">
        <w:t xml:space="preserve"> (i</w:t>
      </w:r>
      <w:r>
        <w:t>lâhî gücün) kralı terk etmesine</w:t>
      </w:r>
      <w:r w:rsidRPr="00412D64">
        <w:t xml:space="preserve"> ba</w:t>
      </w:r>
      <w:r w:rsidRPr="00412D64">
        <w:t>ğ</w:t>
      </w:r>
      <w:r w:rsidRPr="00412D64">
        <w:t>lanıyordu. Bunun gibi tarihten alınacak pek çok örnek, kab</w:t>
      </w:r>
      <w:r w:rsidRPr="00412D64">
        <w:t>i</w:t>
      </w:r>
      <w:r w:rsidRPr="00412D64">
        <w:t xml:space="preserve">le başkanına veya krala, "mana" </w:t>
      </w:r>
      <w:r>
        <w:t>adı verilen</w:t>
      </w:r>
      <w:r w:rsidRPr="00412D64">
        <w:t xml:space="preserve"> esrarlı bir </w:t>
      </w:r>
      <w:proofErr w:type="gramStart"/>
      <w:r w:rsidRPr="00412D64">
        <w:t>kari</w:t>
      </w:r>
      <w:r w:rsidRPr="00412D64">
        <w:t>z</w:t>
      </w:r>
      <w:r w:rsidRPr="00412D64">
        <w:t>manın</w:t>
      </w:r>
      <w:proofErr w:type="gramEnd"/>
      <w:r w:rsidRPr="00412D64">
        <w:t xml:space="preserve"> atfedildiğini göstermektedir. Kabile başkanı</w:t>
      </w:r>
      <w:r>
        <w:t xml:space="preserve">nı veya kralını </w:t>
      </w:r>
      <w:r w:rsidRPr="00412D64">
        <w:t>birçok iş</w:t>
      </w:r>
      <w:r>
        <w:t>i</w:t>
      </w:r>
      <w:r w:rsidRPr="00412D64">
        <w:t xml:space="preserve"> yapmaya yetenekli kılan, işte bu mana g</w:t>
      </w:r>
      <w:r w:rsidRPr="00412D64">
        <w:t>ü</w:t>
      </w:r>
      <w:r w:rsidRPr="00412D64">
        <w:t xml:space="preserve">cüdür. </w:t>
      </w:r>
      <w:r>
        <w:t>M</w:t>
      </w:r>
      <w:r w:rsidRPr="00412D64">
        <w:t>illî dinî cemaatlerde, Kralda mevcut olduğuna in</w:t>
      </w:r>
      <w:r w:rsidRPr="00412D64">
        <w:t>a</w:t>
      </w:r>
      <w:r w:rsidRPr="00412D64">
        <w:t xml:space="preserve">nılan "mana" gücü sayesinde kutsal </w:t>
      </w:r>
      <w:r>
        <w:t>karş</w:t>
      </w:r>
      <w:r>
        <w:t>ı</w:t>
      </w:r>
      <w:r>
        <w:t>sında yaşanan ilâhî korkuya</w:t>
      </w:r>
      <w:r w:rsidRPr="00412D64">
        <w:t xml:space="preserve"> tanık olunuyordu. İlkel to</w:t>
      </w:r>
      <w:r w:rsidRPr="00412D64">
        <w:t>p</w:t>
      </w:r>
      <w:r w:rsidRPr="00412D64">
        <w:t>luluklarda kabile şefinin başından bahsetmek yasaktı. Zira "</w:t>
      </w:r>
      <w:proofErr w:type="spellStart"/>
      <w:r w:rsidRPr="00412D64">
        <w:t>mana"nın</w:t>
      </w:r>
      <w:proofErr w:type="spellEnd"/>
      <w:r w:rsidRPr="00412D64">
        <w:t xml:space="preserve"> onunla, özel bir güçle cisimleşmiş olduğu düşünülmekteydi. Aynı şekilde kralın yemek artıklarını herhangi birinin yemesi yasaktı. Bu artıkların yok edi</w:t>
      </w:r>
      <w:r w:rsidRPr="00412D64">
        <w:t>l</w:t>
      </w:r>
      <w:r w:rsidRPr="00412D64">
        <w:t>mesi gerekiyordu. Geçmiş dönemlerde yaşamış insanların vicdanlarında ilâhî bir güç olarak "</w:t>
      </w:r>
      <w:proofErr w:type="spellStart"/>
      <w:r w:rsidRPr="00412D64">
        <w:t>m</w:t>
      </w:r>
      <w:r w:rsidRPr="00412D64">
        <w:t>a</w:t>
      </w:r>
      <w:r w:rsidRPr="00412D64">
        <w:t>na"nın</w:t>
      </w:r>
      <w:proofErr w:type="spellEnd"/>
      <w:r w:rsidRPr="00412D64">
        <w:t>, olumlu ve olu</w:t>
      </w:r>
      <w:r>
        <w:t xml:space="preserve">msuz, </w:t>
      </w:r>
      <w:proofErr w:type="spellStart"/>
      <w:r>
        <w:t>lutfedici</w:t>
      </w:r>
      <w:proofErr w:type="spellEnd"/>
      <w:r>
        <w:t xml:space="preserve"> ve düşmanca bir</w:t>
      </w:r>
      <w:r w:rsidRPr="00412D64">
        <w:t xml:space="preserve"> tavır içine girebileceğine inanıldığı için cemaatin, Tanrı</w:t>
      </w:r>
      <w:r>
        <w:fldChar w:fldCharType="begin"/>
      </w:r>
      <w:r>
        <w:instrText xml:space="preserve"> XE "</w:instrText>
      </w:r>
      <w:r w:rsidRPr="00A50B4C">
        <w:instrText>Tanrı</w:instrText>
      </w:r>
      <w:r>
        <w:instrText xml:space="preserve">" </w:instrText>
      </w:r>
      <w:r>
        <w:fldChar w:fldCharType="end"/>
      </w:r>
      <w:r w:rsidRPr="00412D64">
        <w:t>'nın irad</w:t>
      </w:r>
      <w:r w:rsidRPr="00412D64">
        <w:t>e</w:t>
      </w:r>
      <w:r w:rsidRPr="00412D64">
        <w:t>sine uygun bir tavır benimseyerek davranışlarında "</w:t>
      </w:r>
      <w:proofErr w:type="spellStart"/>
      <w:r w:rsidRPr="00412D64">
        <w:t>mana"yı</w:t>
      </w:r>
      <w:proofErr w:type="spellEnd"/>
      <w:r w:rsidRPr="00412D64">
        <w:t xml:space="preserve"> hep göz önünde tutması gerekmekteydi. </w:t>
      </w:r>
      <w:r>
        <w:t xml:space="preserve">Ne var ki </w:t>
      </w:r>
      <w:r w:rsidRPr="00412D64">
        <w:t>kral da ilâhî gücüyle insanları felakete uğratmamak için birçok kısı</w:t>
      </w:r>
      <w:r w:rsidRPr="00412D64">
        <w:t>t</w:t>
      </w:r>
      <w:r w:rsidRPr="00412D64">
        <w:t>lamaya boyun eğmek zorundaydı</w:t>
      </w:r>
      <w:r>
        <w:t>.</w:t>
      </w:r>
      <w:r w:rsidRPr="00412D64">
        <w:rPr>
          <w:rStyle w:val="SonnotBavurusu"/>
          <w:color w:val="000000"/>
        </w:rPr>
        <w:endnoteReference w:id="15"/>
      </w:r>
    </w:p>
    <w:p w:rsidR="0089561F" w:rsidRDefault="0089561F">
      <w:bookmarkStart w:id="6" w:name="_GoBack"/>
      <w:bookmarkEnd w:id="6"/>
    </w:p>
    <w:sectPr w:rsidR="008956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7192" w:rsidRDefault="00427192" w:rsidP="00E84C6A">
      <w:pPr>
        <w:spacing w:after="0"/>
      </w:pPr>
      <w:r>
        <w:separator/>
      </w:r>
    </w:p>
  </w:endnote>
  <w:endnote w:type="continuationSeparator" w:id="0">
    <w:p w:rsidR="00427192" w:rsidRDefault="00427192" w:rsidP="00E84C6A">
      <w:pPr>
        <w:spacing w:after="0"/>
      </w:pPr>
      <w:r>
        <w:continuationSeparator/>
      </w:r>
    </w:p>
  </w:endnote>
  <w:endnote w:id="1">
    <w:p w:rsidR="00E84C6A" w:rsidRPr="00CE1911" w:rsidRDefault="00E84C6A" w:rsidP="00E84C6A">
      <w:pPr>
        <w:pStyle w:val="SonnotMetni"/>
        <w:spacing w:after="0"/>
        <w:ind w:left="284" w:hanging="284"/>
        <w:rPr>
          <w:szCs w:val="18"/>
        </w:rPr>
      </w:pPr>
      <w:r w:rsidRPr="00CE1911">
        <w:rPr>
          <w:rStyle w:val="SonnotBavurusu"/>
          <w:szCs w:val="18"/>
        </w:rPr>
        <w:endnoteRef/>
      </w:r>
      <w:r w:rsidRPr="00CE1911">
        <w:rPr>
          <w:szCs w:val="18"/>
        </w:rPr>
        <w:t xml:space="preserve"> </w:t>
      </w:r>
      <w:r>
        <w:rPr>
          <w:szCs w:val="18"/>
        </w:rPr>
        <w:tab/>
      </w:r>
      <w:r w:rsidRPr="00CE1911">
        <w:rPr>
          <w:szCs w:val="18"/>
        </w:rPr>
        <w:t xml:space="preserve">J. L. </w:t>
      </w:r>
      <w:proofErr w:type="spellStart"/>
      <w:r w:rsidRPr="00CE1911">
        <w:rPr>
          <w:szCs w:val="18"/>
        </w:rPr>
        <w:t>Freedman</w:t>
      </w:r>
      <w:proofErr w:type="spellEnd"/>
      <w:r w:rsidRPr="00CE1911">
        <w:rPr>
          <w:szCs w:val="18"/>
        </w:rPr>
        <w:t xml:space="preserve"> ve diğerleri, </w:t>
      </w:r>
      <w:r w:rsidRPr="00CE1911">
        <w:rPr>
          <w:i/>
          <w:szCs w:val="18"/>
        </w:rPr>
        <w:t>Sosyal Psikoloji,</w:t>
      </w:r>
      <w:r w:rsidRPr="00CE1911">
        <w:rPr>
          <w:szCs w:val="18"/>
        </w:rPr>
        <w:t xml:space="preserve"> çev. A. Dönmez, İsta</w:t>
      </w:r>
      <w:r w:rsidRPr="00CE1911">
        <w:rPr>
          <w:szCs w:val="18"/>
        </w:rPr>
        <w:t>n</w:t>
      </w:r>
      <w:r w:rsidRPr="00CE1911">
        <w:rPr>
          <w:szCs w:val="18"/>
        </w:rPr>
        <w:t>bul, 1989, s. 435–436.</w:t>
      </w:r>
    </w:p>
  </w:endnote>
  <w:endnote w:id="2">
    <w:p w:rsidR="00E84C6A" w:rsidRPr="00CE1911" w:rsidRDefault="00E84C6A" w:rsidP="00E84C6A">
      <w:pPr>
        <w:pStyle w:val="SonnotMetni"/>
        <w:spacing w:after="0"/>
        <w:ind w:left="284" w:hanging="284"/>
        <w:rPr>
          <w:szCs w:val="18"/>
        </w:rPr>
      </w:pPr>
      <w:r w:rsidRPr="00CE1911">
        <w:rPr>
          <w:rStyle w:val="SonnotBavurusu"/>
          <w:szCs w:val="18"/>
        </w:rPr>
        <w:endnoteRef/>
      </w:r>
      <w:r w:rsidRPr="00CE1911">
        <w:rPr>
          <w:szCs w:val="18"/>
        </w:rPr>
        <w:t xml:space="preserve"> </w:t>
      </w:r>
      <w:r>
        <w:rPr>
          <w:szCs w:val="18"/>
        </w:rPr>
        <w:tab/>
      </w:r>
      <w:proofErr w:type="spellStart"/>
      <w:r w:rsidRPr="00CE1911">
        <w:rPr>
          <w:szCs w:val="18"/>
        </w:rPr>
        <w:t>Wach</w:t>
      </w:r>
      <w:proofErr w:type="spellEnd"/>
      <w:r w:rsidRPr="00CE1911">
        <w:rPr>
          <w:szCs w:val="18"/>
        </w:rPr>
        <w:t>, Din Sosyolojisi, s. 178.</w:t>
      </w:r>
    </w:p>
  </w:endnote>
  <w:endnote w:id="3">
    <w:p w:rsidR="00E84C6A" w:rsidRPr="00CE1911" w:rsidRDefault="00E84C6A" w:rsidP="00E84C6A">
      <w:pPr>
        <w:pStyle w:val="SonnotMetni"/>
        <w:spacing w:after="0"/>
        <w:ind w:left="284" w:hanging="284"/>
        <w:rPr>
          <w:szCs w:val="18"/>
        </w:rPr>
      </w:pPr>
      <w:r w:rsidRPr="00CE1911">
        <w:rPr>
          <w:rStyle w:val="SonnotBavurusu"/>
          <w:szCs w:val="18"/>
        </w:rPr>
        <w:endnoteRef/>
      </w:r>
      <w:r>
        <w:rPr>
          <w:szCs w:val="18"/>
        </w:rPr>
        <w:t xml:space="preserve"> </w:t>
      </w:r>
      <w:r>
        <w:rPr>
          <w:szCs w:val="18"/>
        </w:rPr>
        <w:tab/>
      </w:r>
      <w:r w:rsidRPr="00CE1911">
        <w:rPr>
          <w:szCs w:val="18"/>
        </w:rPr>
        <w:t>Din kurucusu</w:t>
      </w:r>
      <w:r>
        <w:rPr>
          <w:szCs w:val="18"/>
        </w:rPr>
        <w:fldChar w:fldCharType="begin"/>
      </w:r>
      <w:r>
        <w:rPr>
          <w:szCs w:val="18"/>
        </w:rPr>
        <w:instrText xml:space="preserve"> XE "</w:instrText>
      </w:r>
      <w:r w:rsidRPr="00A50B4C">
        <w:instrText>Din kurucusu</w:instrText>
      </w:r>
      <w:r>
        <w:instrText>"</w:instrText>
      </w:r>
      <w:r>
        <w:rPr>
          <w:szCs w:val="18"/>
        </w:rPr>
        <w:instrText xml:space="preserve"> </w:instrText>
      </w:r>
      <w:r>
        <w:rPr>
          <w:szCs w:val="18"/>
        </w:rPr>
        <w:fldChar w:fldCharType="end"/>
      </w:r>
      <w:r w:rsidRPr="00CE1911">
        <w:rPr>
          <w:szCs w:val="18"/>
        </w:rPr>
        <w:t>, o dinin, sadece söz konusu kişinin gayretiyle kitl</w:t>
      </w:r>
      <w:r w:rsidRPr="00CE1911">
        <w:rPr>
          <w:szCs w:val="18"/>
        </w:rPr>
        <w:t>e</w:t>
      </w:r>
      <w:r w:rsidRPr="00CE1911">
        <w:rPr>
          <w:szCs w:val="18"/>
        </w:rPr>
        <w:t>lere benimsetildiğini ve ilahilik vasfı olmadığını ifade eden bir kavram d</w:t>
      </w:r>
      <w:r w:rsidRPr="00CE1911">
        <w:rPr>
          <w:szCs w:val="18"/>
        </w:rPr>
        <w:t>e</w:t>
      </w:r>
      <w:r w:rsidRPr="00CE1911">
        <w:rPr>
          <w:szCs w:val="18"/>
        </w:rPr>
        <w:t xml:space="preserve">ğildir. Çünkü bu çalışmada dinlerin ilahi </w:t>
      </w:r>
      <w:proofErr w:type="spellStart"/>
      <w:r w:rsidRPr="00CE1911">
        <w:rPr>
          <w:szCs w:val="18"/>
        </w:rPr>
        <w:t>menşe'li</w:t>
      </w:r>
      <w:proofErr w:type="spellEnd"/>
      <w:r w:rsidRPr="00CE1911">
        <w:rPr>
          <w:szCs w:val="18"/>
        </w:rPr>
        <w:t xml:space="preserve"> olup olmadığı tart</w:t>
      </w:r>
      <w:r w:rsidRPr="00CE1911">
        <w:rPr>
          <w:szCs w:val="18"/>
        </w:rPr>
        <w:t>ı</w:t>
      </w:r>
      <w:r w:rsidRPr="00CE1911">
        <w:rPr>
          <w:szCs w:val="18"/>
        </w:rPr>
        <w:t xml:space="preserve">şılmamaktadır. Din kurucuları kavramı burada, ilahilik vasfı ya da </w:t>
      </w:r>
      <w:proofErr w:type="spellStart"/>
      <w:r w:rsidRPr="00CE1911">
        <w:rPr>
          <w:szCs w:val="18"/>
        </w:rPr>
        <w:t>vahy</w:t>
      </w:r>
      <w:proofErr w:type="spellEnd"/>
      <w:r w:rsidRPr="00CE1911">
        <w:rPr>
          <w:szCs w:val="18"/>
        </w:rPr>
        <w:t xml:space="preserve"> mahsulü olsun olmasın, dinin yayılması ve geniş kitlelere ula</w:t>
      </w:r>
      <w:r w:rsidRPr="00CE1911">
        <w:rPr>
          <w:szCs w:val="18"/>
        </w:rPr>
        <w:t>ş</w:t>
      </w:r>
      <w:r w:rsidRPr="00CE1911">
        <w:rPr>
          <w:szCs w:val="18"/>
        </w:rPr>
        <w:t>ması için büyük gayretleri olan, aynı zamanda kitleleri etkileyebilme ve ikna kabiliyetine sahip olan seçkin kişileri nitelemek için kullanı</w:t>
      </w:r>
      <w:r w:rsidRPr="00CE1911">
        <w:rPr>
          <w:szCs w:val="18"/>
        </w:rPr>
        <w:t>l</w:t>
      </w:r>
      <w:r w:rsidRPr="00CE1911">
        <w:rPr>
          <w:szCs w:val="18"/>
        </w:rPr>
        <w:t>mıştır.</w:t>
      </w:r>
    </w:p>
  </w:endnote>
  <w:endnote w:id="4">
    <w:p w:rsidR="00E84C6A" w:rsidRPr="00CE1911" w:rsidRDefault="00E84C6A" w:rsidP="00E84C6A">
      <w:pPr>
        <w:pStyle w:val="SonnotMetni"/>
        <w:spacing w:after="0"/>
        <w:ind w:left="284" w:hanging="284"/>
        <w:rPr>
          <w:szCs w:val="18"/>
        </w:rPr>
      </w:pPr>
      <w:r w:rsidRPr="00CE1911">
        <w:rPr>
          <w:rStyle w:val="SonnotBavurusu"/>
          <w:szCs w:val="18"/>
        </w:rPr>
        <w:endnoteRef/>
      </w:r>
      <w:r w:rsidRPr="00CE1911">
        <w:rPr>
          <w:szCs w:val="18"/>
        </w:rPr>
        <w:t xml:space="preserve"> </w:t>
      </w:r>
      <w:r>
        <w:rPr>
          <w:szCs w:val="18"/>
        </w:rPr>
        <w:tab/>
      </w:r>
      <w:proofErr w:type="spellStart"/>
      <w:r w:rsidRPr="00CE1911">
        <w:rPr>
          <w:szCs w:val="18"/>
        </w:rPr>
        <w:t>Freyer</w:t>
      </w:r>
      <w:proofErr w:type="spellEnd"/>
      <w:r w:rsidRPr="00CE1911">
        <w:rPr>
          <w:szCs w:val="18"/>
        </w:rPr>
        <w:t>, Din Sosyolojisi, s. 50.</w:t>
      </w:r>
    </w:p>
  </w:endnote>
  <w:endnote w:id="5">
    <w:p w:rsidR="00E84C6A" w:rsidRPr="00CE1911" w:rsidRDefault="00E84C6A" w:rsidP="00E84C6A">
      <w:pPr>
        <w:pStyle w:val="SonnotMetni"/>
        <w:spacing w:after="0"/>
        <w:ind w:left="284" w:hanging="284"/>
        <w:rPr>
          <w:szCs w:val="18"/>
        </w:rPr>
      </w:pPr>
      <w:r w:rsidRPr="00CE1911">
        <w:rPr>
          <w:rStyle w:val="SonnotBavurusu"/>
          <w:szCs w:val="18"/>
        </w:rPr>
        <w:endnoteRef/>
      </w:r>
      <w:r w:rsidRPr="00CE1911">
        <w:rPr>
          <w:szCs w:val="18"/>
        </w:rPr>
        <w:t xml:space="preserve"> </w:t>
      </w:r>
      <w:r>
        <w:rPr>
          <w:szCs w:val="18"/>
        </w:rPr>
        <w:tab/>
      </w:r>
      <w:r w:rsidRPr="00CE1911">
        <w:rPr>
          <w:szCs w:val="18"/>
        </w:rPr>
        <w:t xml:space="preserve">Günay, </w:t>
      </w:r>
      <w:r w:rsidRPr="00CE1911">
        <w:rPr>
          <w:i/>
          <w:szCs w:val="18"/>
        </w:rPr>
        <w:t>Din Sosyolojisi</w:t>
      </w:r>
      <w:r w:rsidRPr="00CE1911">
        <w:rPr>
          <w:szCs w:val="18"/>
        </w:rPr>
        <w:t>, s. 258–259.</w:t>
      </w:r>
    </w:p>
  </w:endnote>
  <w:endnote w:id="6">
    <w:p w:rsidR="00E84C6A" w:rsidRPr="00CE1911" w:rsidRDefault="00E84C6A" w:rsidP="00E84C6A">
      <w:pPr>
        <w:pStyle w:val="SonnotMetni"/>
        <w:spacing w:after="0"/>
        <w:ind w:left="284" w:hanging="284"/>
        <w:rPr>
          <w:szCs w:val="18"/>
        </w:rPr>
      </w:pPr>
      <w:r w:rsidRPr="00CE1911">
        <w:rPr>
          <w:rStyle w:val="SonnotBavurusu"/>
          <w:szCs w:val="18"/>
        </w:rPr>
        <w:endnoteRef/>
      </w:r>
      <w:r w:rsidRPr="00CE1911">
        <w:rPr>
          <w:szCs w:val="18"/>
        </w:rPr>
        <w:t xml:space="preserve"> </w:t>
      </w:r>
      <w:r>
        <w:rPr>
          <w:szCs w:val="18"/>
        </w:rPr>
        <w:tab/>
      </w:r>
      <w:proofErr w:type="spellStart"/>
      <w:r w:rsidRPr="00CE1911">
        <w:rPr>
          <w:szCs w:val="18"/>
        </w:rPr>
        <w:t>Wach</w:t>
      </w:r>
      <w:proofErr w:type="spellEnd"/>
      <w:r w:rsidRPr="00CE1911">
        <w:rPr>
          <w:szCs w:val="18"/>
        </w:rPr>
        <w:t>, dinlerin sınıflandırılmasında, din önderlerinin rolünü öne çık</w:t>
      </w:r>
      <w:r w:rsidRPr="00CE1911">
        <w:rPr>
          <w:szCs w:val="18"/>
        </w:rPr>
        <w:t>a</w:t>
      </w:r>
      <w:r w:rsidRPr="00CE1911">
        <w:rPr>
          <w:szCs w:val="18"/>
        </w:rPr>
        <w:t xml:space="preserve">ran farklı bir </w:t>
      </w:r>
      <w:proofErr w:type="gramStart"/>
      <w:r w:rsidRPr="00CE1911">
        <w:rPr>
          <w:szCs w:val="18"/>
        </w:rPr>
        <w:t>kriter</w:t>
      </w:r>
      <w:proofErr w:type="gramEnd"/>
      <w:r w:rsidRPr="00CE1911">
        <w:rPr>
          <w:szCs w:val="18"/>
        </w:rPr>
        <w:t xml:space="preserve"> kullanır. Bu sınıflamadaki "geleneksel dinler" nit</w:t>
      </w:r>
      <w:r w:rsidRPr="00CE1911">
        <w:rPr>
          <w:szCs w:val="18"/>
        </w:rPr>
        <w:t>e</w:t>
      </w:r>
      <w:r w:rsidRPr="00CE1911">
        <w:rPr>
          <w:szCs w:val="18"/>
        </w:rPr>
        <w:t xml:space="preserve">lemesine </w:t>
      </w:r>
      <w:proofErr w:type="spellStart"/>
      <w:r w:rsidRPr="00CE1911">
        <w:rPr>
          <w:szCs w:val="18"/>
        </w:rPr>
        <w:t>Mensching'in</w:t>
      </w:r>
      <w:proofErr w:type="spellEnd"/>
      <w:r w:rsidRPr="00CE1911">
        <w:rPr>
          <w:szCs w:val="18"/>
        </w:rPr>
        <w:t xml:space="preserve"> milli dinler nitelemesi tekabül eder ve bunun içine ilkel toplulukların dinleri, mahalli dinler girer. </w:t>
      </w:r>
      <w:proofErr w:type="spellStart"/>
      <w:r w:rsidRPr="00CE1911">
        <w:rPr>
          <w:szCs w:val="18"/>
        </w:rPr>
        <w:t>Wach'ın</w:t>
      </w:r>
      <w:proofErr w:type="spellEnd"/>
      <w:r w:rsidRPr="00CE1911">
        <w:rPr>
          <w:szCs w:val="18"/>
        </w:rPr>
        <w:t xml:space="preserve"> bazı ye</w:t>
      </w:r>
      <w:r w:rsidRPr="00CE1911">
        <w:rPr>
          <w:szCs w:val="18"/>
        </w:rPr>
        <w:t>r</w:t>
      </w:r>
      <w:r w:rsidRPr="00CE1911">
        <w:rPr>
          <w:szCs w:val="18"/>
        </w:rPr>
        <w:t>lerde "evrensel din", bazı yerlerde ise "müesses din" dediği çizginin içerisine karizmatik bir önder etrafında topl</w:t>
      </w:r>
      <w:r w:rsidRPr="00CE1911">
        <w:rPr>
          <w:szCs w:val="18"/>
        </w:rPr>
        <w:t>a</w:t>
      </w:r>
      <w:r w:rsidRPr="00CE1911">
        <w:rPr>
          <w:szCs w:val="18"/>
        </w:rPr>
        <w:t>nan İslam</w:t>
      </w:r>
      <w:r>
        <w:rPr>
          <w:szCs w:val="18"/>
        </w:rPr>
        <w:fldChar w:fldCharType="begin"/>
      </w:r>
      <w:r>
        <w:rPr>
          <w:szCs w:val="18"/>
        </w:rPr>
        <w:instrText xml:space="preserve"> XE "</w:instrText>
      </w:r>
      <w:r w:rsidRPr="00A50B4C">
        <w:instrText>İslam</w:instrText>
      </w:r>
      <w:r>
        <w:instrText>"</w:instrText>
      </w:r>
      <w:r>
        <w:rPr>
          <w:szCs w:val="18"/>
        </w:rPr>
        <w:instrText xml:space="preserve"> </w:instrText>
      </w:r>
      <w:r>
        <w:rPr>
          <w:szCs w:val="18"/>
        </w:rPr>
        <w:fldChar w:fldCharType="end"/>
      </w:r>
      <w:r w:rsidRPr="00CE1911">
        <w:rPr>
          <w:szCs w:val="18"/>
        </w:rPr>
        <w:t>, Hıristiyanlık</w:t>
      </w:r>
      <w:r>
        <w:rPr>
          <w:szCs w:val="18"/>
        </w:rPr>
        <w:fldChar w:fldCharType="begin"/>
      </w:r>
      <w:r>
        <w:rPr>
          <w:szCs w:val="18"/>
        </w:rPr>
        <w:instrText xml:space="preserve"> XE "</w:instrText>
      </w:r>
      <w:r w:rsidRPr="00A50B4C">
        <w:instrText>Hıristiyanlık</w:instrText>
      </w:r>
      <w:r>
        <w:instrText>"</w:instrText>
      </w:r>
      <w:r>
        <w:rPr>
          <w:szCs w:val="18"/>
        </w:rPr>
        <w:instrText xml:space="preserve"> </w:instrText>
      </w:r>
      <w:r>
        <w:rPr>
          <w:szCs w:val="18"/>
        </w:rPr>
        <w:fldChar w:fldCharType="end"/>
      </w:r>
      <w:r w:rsidRPr="00CE1911">
        <w:rPr>
          <w:szCs w:val="18"/>
        </w:rPr>
        <w:t>, Budizm</w:t>
      </w:r>
      <w:r>
        <w:rPr>
          <w:szCs w:val="18"/>
        </w:rPr>
        <w:fldChar w:fldCharType="begin"/>
      </w:r>
      <w:r>
        <w:rPr>
          <w:szCs w:val="18"/>
        </w:rPr>
        <w:instrText xml:space="preserve"> XE "</w:instrText>
      </w:r>
      <w:r w:rsidRPr="00A50B4C">
        <w:instrText>Budizm</w:instrText>
      </w:r>
      <w:r>
        <w:instrText>"</w:instrText>
      </w:r>
      <w:r>
        <w:rPr>
          <w:szCs w:val="18"/>
        </w:rPr>
        <w:instrText xml:space="preserve"> </w:instrText>
      </w:r>
      <w:r>
        <w:rPr>
          <w:szCs w:val="18"/>
        </w:rPr>
        <w:fldChar w:fldCharType="end"/>
      </w:r>
      <w:r w:rsidRPr="00CE1911">
        <w:rPr>
          <w:szCs w:val="18"/>
        </w:rPr>
        <w:t>, Hinduizm</w:t>
      </w:r>
      <w:r>
        <w:rPr>
          <w:szCs w:val="18"/>
        </w:rPr>
        <w:fldChar w:fldCharType="begin"/>
      </w:r>
      <w:r>
        <w:rPr>
          <w:szCs w:val="18"/>
        </w:rPr>
        <w:instrText xml:space="preserve"> XE "</w:instrText>
      </w:r>
      <w:r w:rsidRPr="00A50B4C">
        <w:instrText>Hinduizm</w:instrText>
      </w:r>
      <w:r>
        <w:instrText>"</w:instrText>
      </w:r>
      <w:r>
        <w:rPr>
          <w:szCs w:val="18"/>
        </w:rPr>
        <w:instrText xml:space="preserve"> </w:instrText>
      </w:r>
      <w:r>
        <w:rPr>
          <w:szCs w:val="18"/>
        </w:rPr>
        <w:fldChar w:fldCharType="end"/>
      </w:r>
      <w:r w:rsidRPr="00CE1911">
        <w:rPr>
          <w:szCs w:val="18"/>
        </w:rPr>
        <w:t xml:space="preserve">, </w:t>
      </w:r>
      <w:proofErr w:type="spellStart"/>
      <w:r w:rsidRPr="00CE1911">
        <w:rPr>
          <w:szCs w:val="18"/>
        </w:rPr>
        <w:t>Konfüçyanizm</w:t>
      </w:r>
      <w:proofErr w:type="spellEnd"/>
      <w:r w:rsidRPr="00CE1911">
        <w:rPr>
          <w:szCs w:val="18"/>
        </w:rPr>
        <w:t xml:space="preserve"> vb. dinler girmektedir. Fakat bu durum, o dinlerden herhangi birinin ilahi menşeli olmadığını vurg</w:t>
      </w:r>
      <w:r w:rsidRPr="00CE1911">
        <w:rPr>
          <w:szCs w:val="18"/>
        </w:rPr>
        <w:t>u</w:t>
      </w:r>
      <w:r w:rsidRPr="00CE1911">
        <w:rPr>
          <w:szCs w:val="18"/>
        </w:rPr>
        <w:t>lamak için kullanılmamaktadır; bu durum sadece sosyolojik bir tipol</w:t>
      </w:r>
      <w:r w:rsidRPr="00CE1911">
        <w:rPr>
          <w:szCs w:val="18"/>
        </w:rPr>
        <w:t>o</w:t>
      </w:r>
      <w:r w:rsidRPr="00CE1911">
        <w:rPr>
          <w:szCs w:val="18"/>
        </w:rPr>
        <w:t>ji işleminin gereği gibi görü</w:t>
      </w:r>
      <w:r w:rsidRPr="00CE1911">
        <w:rPr>
          <w:szCs w:val="18"/>
        </w:rPr>
        <w:t>l</w:t>
      </w:r>
      <w:r w:rsidRPr="00CE1911">
        <w:rPr>
          <w:szCs w:val="18"/>
        </w:rPr>
        <w:t xml:space="preserve">melidir. </w:t>
      </w:r>
      <w:proofErr w:type="spellStart"/>
      <w:r w:rsidRPr="00CE1911">
        <w:rPr>
          <w:szCs w:val="18"/>
        </w:rPr>
        <w:t>Wach'ın</w:t>
      </w:r>
      <w:proofErr w:type="spellEnd"/>
      <w:r w:rsidRPr="00CE1911">
        <w:rPr>
          <w:szCs w:val="18"/>
        </w:rPr>
        <w:t xml:space="preserve"> dinler sınıflaması ve din önderlerine atfettiği önem konusunda daha fazla bilgi için bkz. </w:t>
      </w:r>
      <w:proofErr w:type="spellStart"/>
      <w:r w:rsidRPr="00CE1911">
        <w:rPr>
          <w:szCs w:val="18"/>
        </w:rPr>
        <w:t>Wach</w:t>
      </w:r>
      <w:proofErr w:type="spellEnd"/>
      <w:r w:rsidRPr="00CE1911">
        <w:rPr>
          <w:szCs w:val="18"/>
        </w:rPr>
        <w:t xml:space="preserve">, 1995, 149–152, 296, 393–442. </w:t>
      </w:r>
    </w:p>
  </w:endnote>
  <w:endnote w:id="7">
    <w:p w:rsidR="00E84C6A" w:rsidRPr="00CE1911" w:rsidRDefault="00E84C6A" w:rsidP="00E84C6A">
      <w:pPr>
        <w:pStyle w:val="SonnotMetni"/>
        <w:spacing w:after="0"/>
        <w:ind w:left="284" w:hanging="284"/>
        <w:rPr>
          <w:szCs w:val="18"/>
        </w:rPr>
      </w:pPr>
      <w:r w:rsidRPr="00CE1911">
        <w:rPr>
          <w:rStyle w:val="SonnotBavurusu"/>
          <w:szCs w:val="18"/>
        </w:rPr>
        <w:endnoteRef/>
      </w:r>
      <w:r w:rsidRPr="00CE1911">
        <w:rPr>
          <w:szCs w:val="18"/>
        </w:rPr>
        <w:t xml:space="preserve"> </w:t>
      </w:r>
      <w:r>
        <w:rPr>
          <w:szCs w:val="18"/>
        </w:rPr>
        <w:tab/>
      </w:r>
      <w:proofErr w:type="spellStart"/>
      <w:r w:rsidRPr="00CE1911">
        <w:rPr>
          <w:szCs w:val="18"/>
        </w:rPr>
        <w:t>Mensching</w:t>
      </w:r>
      <w:proofErr w:type="spellEnd"/>
      <w:r w:rsidRPr="00CE1911">
        <w:rPr>
          <w:szCs w:val="18"/>
        </w:rPr>
        <w:t xml:space="preserve">, </w:t>
      </w:r>
      <w:r w:rsidRPr="00CE1911">
        <w:rPr>
          <w:i/>
          <w:szCs w:val="18"/>
        </w:rPr>
        <w:t>Dini Sosyoloji</w:t>
      </w:r>
      <w:r>
        <w:rPr>
          <w:i/>
          <w:szCs w:val="18"/>
        </w:rPr>
        <w:fldChar w:fldCharType="begin"/>
      </w:r>
      <w:r>
        <w:rPr>
          <w:i/>
          <w:szCs w:val="18"/>
        </w:rPr>
        <w:instrText xml:space="preserve"> XE "</w:instrText>
      </w:r>
      <w:r w:rsidRPr="00A50B4C">
        <w:instrText>Sosyoloji</w:instrText>
      </w:r>
      <w:r>
        <w:instrText>"</w:instrText>
      </w:r>
      <w:r>
        <w:rPr>
          <w:i/>
          <w:szCs w:val="18"/>
        </w:rPr>
        <w:instrText xml:space="preserve"> </w:instrText>
      </w:r>
      <w:r>
        <w:rPr>
          <w:i/>
          <w:szCs w:val="18"/>
        </w:rPr>
        <w:fldChar w:fldCharType="end"/>
      </w:r>
      <w:r w:rsidRPr="00CE1911">
        <w:rPr>
          <w:szCs w:val="18"/>
        </w:rPr>
        <w:t>, s. 132.</w:t>
      </w:r>
    </w:p>
  </w:endnote>
  <w:endnote w:id="8">
    <w:p w:rsidR="00E84C6A" w:rsidRPr="00CE1911" w:rsidRDefault="00E84C6A" w:rsidP="00E84C6A">
      <w:pPr>
        <w:autoSpaceDE w:val="0"/>
        <w:autoSpaceDN w:val="0"/>
        <w:adjustRightInd w:val="0"/>
        <w:spacing w:after="0"/>
        <w:ind w:left="284" w:hanging="284"/>
        <w:rPr>
          <w:sz w:val="18"/>
          <w:szCs w:val="18"/>
        </w:rPr>
      </w:pPr>
      <w:r w:rsidRPr="00CE1911">
        <w:rPr>
          <w:rStyle w:val="SonnotBavurusu"/>
          <w:sz w:val="18"/>
          <w:szCs w:val="18"/>
        </w:rPr>
        <w:endnoteRef/>
      </w:r>
      <w:r w:rsidRPr="00CE1911">
        <w:rPr>
          <w:sz w:val="18"/>
          <w:szCs w:val="18"/>
        </w:rPr>
        <w:t xml:space="preserve"> </w:t>
      </w:r>
      <w:r>
        <w:rPr>
          <w:sz w:val="18"/>
          <w:szCs w:val="18"/>
        </w:rPr>
        <w:tab/>
      </w:r>
      <w:r w:rsidRPr="00CE1911">
        <w:rPr>
          <w:sz w:val="18"/>
          <w:szCs w:val="18"/>
        </w:rPr>
        <w:t xml:space="preserve">W. </w:t>
      </w:r>
      <w:proofErr w:type="spellStart"/>
      <w:r w:rsidRPr="00CE1911">
        <w:rPr>
          <w:sz w:val="18"/>
          <w:szCs w:val="18"/>
        </w:rPr>
        <w:t>Montgomery</w:t>
      </w:r>
      <w:proofErr w:type="spellEnd"/>
      <w:r w:rsidRPr="00CE1911">
        <w:rPr>
          <w:sz w:val="18"/>
          <w:szCs w:val="18"/>
        </w:rPr>
        <w:t xml:space="preserve"> </w:t>
      </w:r>
      <w:proofErr w:type="spellStart"/>
      <w:r w:rsidRPr="00CE1911">
        <w:rPr>
          <w:sz w:val="18"/>
          <w:szCs w:val="18"/>
        </w:rPr>
        <w:t>Watt</w:t>
      </w:r>
      <w:proofErr w:type="spellEnd"/>
      <w:r w:rsidRPr="00CE1911">
        <w:rPr>
          <w:sz w:val="18"/>
          <w:szCs w:val="18"/>
        </w:rPr>
        <w:t xml:space="preserve">, </w:t>
      </w:r>
      <w:r w:rsidRPr="00CE1911">
        <w:rPr>
          <w:i/>
          <w:sz w:val="18"/>
          <w:szCs w:val="18"/>
        </w:rPr>
        <w:t>Hz. Muhammed Mekke’de</w:t>
      </w:r>
      <w:r w:rsidRPr="00CE1911">
        <w:rPr>
          <w:sz w:val="18"/>
          <w:szCs w:val="18"/>
        </w:rPr>
        <w:t xml:space="preserve">, çev. M. Rami </w:t>
      </w:r>
      <w:proofErr w:type="spellStart"/>
      <w:r w:rsidRPr="00CE1911">
        <w:rPr>
          <w:sz w:val="18"/>
          <w:szCs w:val="18"/>
        </w:rPr>
        <w:t>Ayas</w:t>
      </w:r>
      <w:proofErr w:type="spellEnd"/>
      <w:r w:rsidRPr="00CE1911">
        <w:rPr>
          <w:sz w:val="18"/>
          <w:szCs w:val="18"/>
        </w:rPr>
        <w:t>, A. Yüksel, Ankara, 1986, s. 92–106.</w:t>
      </w:r>
    </w:p>
  </w:endnote>
  <w:endnote w:id="9">
    <w:p w:rsidR="00E84C6A" w:rsidRPr="00CE1911" w:rsidRDefault="00E84C6A" w:rsidP="00E84C6A">
      <w:pPr>
        <w:pStyle w:val="SonnotMetni"/>
        <w:spacing w:after="0"/>
        <w:ind w:left="284" w:hanging="284"/>
        <w:rPr>
          <w:szCs w:val="18"/>
        </w:rPr>
      </w:pPr>
      <w:r w:rsidRPr="00CE1911">
        <w:rPr>
          <w:rStyle w:val="SonnotBavurusu"/>
          <w:szCs w:val="18"/>
        </w:rPr>
        <w:endnoteRef/>
      </w:r>
      <w:r w:rsidRPr="00CE1911">
        <w:rPr>
          <w:szCs w:val="18"/>
        </w:rPr>
        <w:t xml:space="preserve"> </w:t>
      </w:r>
      <w:r>
        <w:rPr>
          <w:szCs w:val="18"/>
        </w:rPr>
        <w:tab/>
      </w:r>
      <w:proofErr w:type="spellStart"/>
      <w:r w:rsidRPr="00CE1911">
        <w:rPr>
          <w:szCs w:val="18"/>
        </w:rPr>
        <w:t>Mensching</w:t>
      </w:r>
      <w:proofErr w:type="spellEnd"/>
      <w:r w:rsidRPr="00CE1911">
        <w:rPr>
          <w:szCs w:val="18"/>
        </w:rPr>
        <w:t xml:space="preserve">, </w:t>
      </w:r>
      <w:r w:rsidRPr="00CE1911">
        <w:rPr>
          <w:i/>
          <w:szCs w:val="18"/>
        </w:rPr>
        <w:t>Dini Sosyoloji</w:t>
      </w:r>
      <w:r>
        <w:rPr>
          <w:i/>
          <w:szCs w:val="18"/>
        </w:rPr>
        <w:fldChar w:fldCharType="begin"/>
      </w:r>
      <w:r>
        <w:rPr>
          <w:i/>
          <w:szCs w:val="18"/>
        </w:rPr>
        <w:instrText xml:space="preserve"> XE "</w:instrText>
      </w:r>
      <w:r w:rsidRPr="00A50B4C">
        <w:instrText>Sosyoloji</w:instrText>
      </w:r>
      <w:r>
        <w:instrText>"</w:instrText>
      </w:r>
      <w:r>
        <w:rPr>
          <w:i/>
          <w:szCs w:val="18"/>
        </w:rPr>
        <w:instrText xml:space="preserve"> </w:instrText>
      </w:r>
      <w:r>
        <w:rPr>
          <w:i/>
          <w:szCs w:val="18"/>
        </w:rPr>
        <w:fldChar w:fldCharType="end"/>
      </w:r>
      <w:r w:rsidRPr="00CE1911">
        <w:rPr>
          <w:szCs w:val="18"/>
        </w:rPr>
        <w:t>, s. 132.</w:t>
      </w:r>
    </w:p>
  </w:endnote>
  <w:endnote w:id="10">
    <w:p w:rsidR="00E84C6A" w:rsidRPr="00CE1911" w:rsidRDefault="00E84C6A" w:rsidP="00E84C6A">
      <w:pPr>
        <w:pStyle w:val="SonnotMetni"/>
        <w:spacing w:after="0"/>
        <w:ind w:left="284" w:hanging="284"/>
        <w:rPr>
          <w:szCs w:val="18"/>
        </w:rPr>
      </w:pPr>
      <w:r w:rsidRPr="00CE1911">
        <w:rPr>
          <w:rStyle w:val="SonnotBavurusu"/>
          <w:szCs w:val="18"/>
        </w:rPr>
        <w:endnoteRef/>
      </w:r>
      <w:r w:rsidRPr="00CE1911">
        <w:rPr>
          <w:szCs w:val="18"/>
        </w:rPr>
        <w:t xml:space="preserve"> </w:t>
      </w:r>
      <w:r>
        <w:rPr>
          <w:szCs w:val="18"/>
        </w:rPr>
        <w:tab/>
      </w:r>
      <w:proofErr w:type="spellStart"/>
      <w:r w:rsidRPr="00CE1911">
        <w:rPr>
          <w:szCs w:val="18"/>
        </w:rPr>
        <w:t>Wach</w:t>
      </w:r>
      <w:proofErr w:type="spellEnd"/>
      <w:r w:rsidRPr="00CE1911">
        <w:rPr>
          <w:szCs w:val="18"/>
        </w:rPr>
        <w:t xml:space="preserve">, </w:t>
      </w:r>
      <w:r w:rsidRPr="00CE1911">
        <w:rPr>
          <w:i/>
          <w:szCs w:val="18"/>
        </w:rPr>
        <w:t>Din Sosyolojisi</w:t>
      </w:r>
      <w:r w:rsidRPr="00CE1911">
        <w:rPr>
          <w:szCs w:val="18"/>
        </w:rPr>
        <w:t>, s. 349.</w:t>
      </w:r>
    </w:p>
  </w:endnote>
  <w:endnote w:id="11">
    <w:p w:rsidR="00E84C6A" w:rsidRPr="00CE1911" w:rsidRDefault="00E84C6A" w:rsidP="00E84C6A">
      <w:pPr>
        <w:pStyle w:val="SonnotMetni"/>
        <w:spacing w:after="0"/>
        <w:ind w:left="284" w:hanging="284"/>
        <w:rPr>
          <w:szCs w:val="18"/>
        </w:rPr>
      </w:pPr>
      <w:r w:rsidRPr="00CE1911">
        <w:rPr>
          <w:rStyle w:val="SonnotBavurusu"/>
          <w:szCs w:val="18"/>
        </w:rPr>
        <w:endnoteRef/>
      </w:r>
      <w:r w:rsidRPr="00CE1911">
        <w:rPr>
          <w:szCs w:val="18"/>
        </w:rPr>
        <w:t xml:space="preserve"> </w:t>
      </w:r>
      <w:r>
        <w:rPr>
          <w:szCs w:val="18"/>
        </w:rPr>
        <w:tab/>
      </w:r>
      <w:r w:rsidRPr="00CE1911">
        <w:rPr>
          <w:szCs w:val="18"/>
        </w:rPr>
        <w:t xml:space="preserve">B. </w:t>
      </w:r>
      <w:proofErr w:type="spellStart"/>
      <w:r w:rsidRPr="00CE1911">
        <w:rPr>
          <w:szCs w:val="18"/>
        </w:rPr>
        <w:t>S.Turner</w:t>
      </w:r>
      <w:proofErr w:type="spellEnd"/>
      <w:r w:rsidRPr="00CE1911">
        <w:rPr>
          <w:szCs w:val="18"/>
        </w:rPr>
        <w:t xml:space="preserve">, </w:t>
      </w:r>
      <w:proofErr w:type="spellStart"/>
      <w:r w:rsidRPr="00CE1911">
        <w:rPr>
          <w:i/>
          <w:szCs w:val="18"/>
        </w:rPr>
        <w:t>Max</w:t>
      </w:r>
      <w:proofErr w:type="spellEnd"/>
      <w:r w:rsidRPr="00CE1911">
        <w:rPr>
          <w:i/>
          <w:szCs w:val="18"/>
        </w:rPr>
        <w:t xml:space="preserve"> </w:t>
      </w:r>
      <w:proofErr w:type="spellStart"/>
      <w:r w:rsidRPr="00CE1911">
        <w:rPr>
          <w:i/>
          <w:szCs w:val="18"/>
        </w:rPr>
        <w:t>Weber</w:t>
      </w:r>
      <w:proofErr w:type="spellEnd"/>
      <w:r w:rsidRPr="00CE1911">
        <w:rPr>
          <w:i/>
          <w:szCs w:val="18"/>
        </w:rPr>
        <w:t xml:space="preserve"> ve İslam</w:t>
      </w:r>
      <w:r>
        <w:rPr>
          <w:i/>
          <w:szCs w:val="18"/>
        </w:rPr>
        <w:fldChar w:fldCharType="begin"/>
      </w:r>
      <w:r>
        <w:rPr>
          <w:i/>
          <w:szCs w:val="18"/>
        </w:rPr>
        <w:instrText xml:space="preserve"> XE "</w:instrText>
      </w:r>
      <w:r w:rsidRPr="00A50B4C">
        <w:instrText>İslam</w:instrText>
      </w:r>
      <w:r>
        <w:instrText>"</w:instrText>
      </w:r>
      <w:r>
        <w:rPr>
          <w:i/>
          <w:szCs w:val="18"/>
        </w:rPr>
        <w:instrText xml:space="preserve"> </w:instrText>
      </w:r>
      <w:r>
        <w:rPr>
          <w:i/>
          <w:szCs w:val="18"/>
        </w:rPr>
        <w:fldChar w:fldCharType="end"/>
      </w:r>
      <w:r w:rsidRPr="00CE1911">
        <w:rPr>
          <w:szCs w:val="18"/>
        </w:rPr>
        <w:t>, çev. Y. Aktay, Ankara, 1991, s. 40.</w:t>
      </w:r>
    </w:p>
  </w:endnote>
  <w:endnote w:id="12">
    <w:p w:rsidR="00E84C6A" w:rsidRPr="00CE1911" w:rsidRDefault="00E84C6A" w:rsidP="00E84C6A">
      <w:pPr>
        <w:pStyle w:val="SonnotMetni"/>
        <w:spacing w:after="0"/>
        <w:ind w:left="284" w:hanging="284"/>
        <w:rPr>
          <w:szCs w:val="18"/>
        </w:rPr>
      </w:pPr>
      <w:r w:rsidRPr="00CE1911">
        <w:rPr>
          <w:rStyle w:val="SonnotBavurusu"/>
          <w:szCs w:val="18"/>
        </w:rPr>
        <w:endnoteRef/>
      </w:r>
      <w:r w:rsidRPr="00CE1911">
        <w:rPr>
          <w:szCs w:val="18"/>
        </w:rPr>
        <w:t xml:space="preserve"> </w:t>
      </w:r>
      <w:r>
        <w:rPr>
          <w:szCs w:val="18"/>
        </w:rPr>
        <w:tab/>
      </w:r>
      <w:r w:rsidRPr="00CE1911">
        <w:rPr>
          <w:szCs w:val="18"/>
        </w:rPr>
        <w:t>Karizma</w:t>
      </w:r>
      <w:r>
        <w:rPr>
          <w:szCs w:val="18"/>
        </w:rPr>
        <w:fldChar w:fldCharType="begin"/>
      </w:r>
      <w:r>
        <w:rPr>
          <w:szCs w:val="18"/>
        </w:rPr>
        <w:instrText xml:space="preserve"> XE "</w:instrText>
      </w:r>
      <w:r w:rsidRPr="00A50B4C">
        <w:instrText>Karizma</w:instrText>
      </w:r>
      <w:r>
        <w:instrText>"</w:instrText>
      </w:r>
      <w:r>
        <w:rPr>
          <w:szCs w:val="18"/>
        </w:rPr>
        <w:instrText xml:space="preserve"> </w:instrText>
      </w:r>
      <w:r>
        <w:rPr>
          <w:szCs w:val="18"/>
        </w:rPr>
        <w:fldChar w:fldCharType="end"/>
      </w:r>
      <w:r w:rsidRPr="00CE1911">
        <w:rPr>
          <w:szCs w:val="18"/>
        </w:rPr>
        <w:t xml:space="preserve"> konusunda daha geniş bilgi için bkz. </w:t>
      </w:r>
      <w:proofErr w:type="spellStart"/>
      <w:r w:rsidRPr="00CE1911">
        <w:rPr>
          <w:szCs w:val="18"/>
        </w:rPr>
        <w:t>Wach</w:t>
      </w:r>
      <w:proofErr w:type="spellEnd"/>
      <w:r w:rsidRPr="00CE1911">
        <w:rPr>
          <w:szCs w:val="18"/>
        </w:rPr>
        <w:t xml:space="preserve">, 1995, 398–402; </w:t>
      </w:r>
      <w:proofErr w:type="spellStart"/>
      <w:r w:rsidRPr="00CE1911">
        <w:rPr>
          <w:szCs w:val="18"/>
        </w:rPr>
        <w:t>Turner</w:t>
      </w:r>
      <w:proofErr w:type="spellEnd"/>
      <w:r w:rsidRPr="00CE1911">
        <w:rPr>
          <w:szCs w:val="18"/>
        </w:rPr>
        <w:t xml:space="preserve">, </w:t>
      </w:r>
      <w:proofErr w:type="spellStart"/>
      <w:r w:rsidRPr="00CE1911">
        <w:rPr>
          <w:i/>
          <w:szCs w:val="18"/>
        </w:rPr>
        <w:t>Max</w:t>
      </w:r>
      <w:proofErr w:type="spellEnd"/>
      <w:r w:rsidRPr="00CE1911">
        <w:rPr>
          <w:i/>
          <w:szCs w:val="18"/>
        </w:rPr>
        <w:t xml:space="preserve"> </w:t>
      </w:r>
      <w:proofErr w:type="spellStart"/>
      <w:r w:rsidRPr="00CE1911">
        <w:rPr>
          <w:i/>
          <w:szCs w:val="18"/>
        </w:rPr>
        <w:t>Weber</w:t>
      </w:r>
      <w:proofErr w:type="spellEnd"/>
      <w:r w:rsidRPr="00CE1911">
        <w:rPr>
          <w:i/>
          <w:szCs w:val="18"/>
        </w:rPr>
        <w:t xml:space="preserve"> ve İslam</w:t>
      </w:r>
      <w:r>
        <w:rPr>
          <w:i/>
          <w:szCs w:val="18"/>
        </w:rPr>
        <w:fldChar w:fldCharType="begin"/>
      </w:r>
      <w:r>
        <w:rPr>
          <w:i/>
          <w:szCs w:val="18"/>
        </w:rPr>
        <w:instrText xml:space="preserve"> XE "</w:instrText>
      </w:r>
      <w:r w:rsidRPr="00A50B4C">
        <w:instrText>İslam</w:instrText>
      </w:r>
      <w:r>
        <w:instrText>"</w:instrText>
      </w:r>
      <w:r>
        <w:rPr>
          <w:i/>
          <w:szCs w:val="18"/>
        </w:rPr>
        <w:instrText xml:space="preserve"> </w:instrText>
      </w:r>
      <w:r>
        <w:rPr>
          <w:i/>
          <w:szCs w:val="18"/>
        </w:rPr>
        <w:fldChar w:fldCharType="end"/>
      </w:r>
      <w:r w:rsidRPr="00CE1911">
        <w:rPr>
          <w:szCs w:val="18"/>
        </w:rPr>
        <w:t xml:space="preserve">, s. 39–46; </w:t>
      </w:r>
      <w:proofErr w:type="spellStart"/>
      <w:r w:rsidRPr="00CE1911">
        <w:rPr>
          <w:szCs w:val="18"/>
        </w:rPr>
        <w:t>Mensching</w:t>
      </w:r>
      <w:proofErr w:type="spellEnd"/>
      <w:r w:rsidRPr="00CE1911">
        <w:rPr>
          <w:szCs w:val="18"/>
        </w:rPr>
        <w:t xml:space="preserve">, </w:t>
      </w:r>
      <w:r w:rsidRPr="00CE1911">
        <w:rPr>
          <w:i/>
          <w:szCs w:val="18"/>
        </w:rPr>
        <w:t>Dini So</w:t>
      </w:r>
      <w:r w:rsidRPr="00CE1911">
        <w:rPr>
          <w:i/>
          <w:szCs w:val="18"/>
        </w:rPr>
        <w:t>s</w:t>
      </w:r>
      <w:r w:rsidRPr="00CE1911">
        <w:rPr>
          <w:i/>
          <w:szCs w:val="18"/>
        </w:rPr>
        <w:t>yoloji</w:t>
      </w:r>
      <w:r>
        <w:rPr>
          <w:i/>
          <w:szCs w:val="18"/>
        </w:rPr>
        <w:fldChar w:fldCharType="begin"/>
      </w:r>
      <w:r>
        <w:rPr>
          <w:i/>
          <w:szCs w:val="18"/>
        </w:rPr>
        <w:instrText xml:space="preserve"> XE "</w:instrText>
      </w:r>
      <w:r w:rsidRPr="00A50B4C">
        <w:instrText>Sosyoloji</w:instrText>
      </w:r>
      <w:r>
        <w:instrText>"</w:instrText>
      </w:r>
      <w:r>
        <w:rPr>
          <w:i/>
          <w:szCs w:val="18"/>
        </w:rPr>
        <w:instrText xml:space="preserve"> </w:instrText>
      </w:r>
      <w:r>
        <w:rPr>
          <w:i/>
          <w:szCs w:val="18"/>
        </w:rPr>
        <w:fldChar w:fldCharType="end"/>
      </w:r>
      <w:r w:rsidRPr="00CE1911">
        <w:rPr>
          <w:szCs w:val="18"/>
        </w:rPr>
        <w:t>, s. 236–247.</w:t>
      </w:r>
    </w:p>
  </w:endnote>
  <w:endnote w:id="13">
    <w:p w:rsidR="00E84C6A" w:rsidRPr="00CE1911" w:rsidRDefault="00E84C6A" w:rsidP="00E84C6A">
      <w:pPr>
        <w:pStyle w:val="SonnotMetni"/>
        <w:spacing w:after="0"/>
        <w:ind w:left="284" w:hanging="284"/>
        <w:rPr>
          <w:szCs w:val="18"/>
        </w:rPr>
      </w:pPr>
      <w:r w:rsidRPr="00CE1911">
        <w:rPr>
          <w:rStyle w:val="SonnotBavurusu"/>
          <w:szCs w:val="18"/>
        </w:rPr>
        <w:endnoteRef/>
      </w:r>
      <w:r w:rsidRPr="00CE1911">
        <w:rPr>
          <w:szCs w:val="18"/>
        </w:rPr>
        <w:t xml:space="preserve"> </w:t>
      </w:r>
      <w:r>
        <w:rPr>
          <w:szCs w:val="18"/>
        </w:rPr>
        <w:tab/>
      </w:r>
      <w:proofErr w:type="spellStart"/>
      <w:r w:rsidRPr="00CE1911">
        <w:rPr>
          <w:szCs w:val="18"/>
        </w:rPr>
        <w:t>Mensching</w:t>
      </w:r>
      <w:proofErr w:type="spellEnd"/>
      <w:r w:rsidRPr="00CE1911">
        <w:rPr>
          <w:szCs w:val="18"/>
        </w:rPr>
        <w:t xml:space="preserve">, </w:t>
      </w:r>
      <w:r w:rsidRPr="00CE1911">
        <w:rPr>
          <w:i/>
          <w:szCs w:val="18"/>
        </w:rPr>
        <w:t>Dini Sosyoloji</w:t>
      </w:r>
      <w:r>
        <w:rPr>
          <w:i/>
          <w:szCs w:val="18"/>
        </w:rPr>
        <w:fldChar w:fldCharType="begin"/>
      </w:r>
      <w:r>
        <w:rPr>
          <w:i/>
          <w:szCs w:val="18"/>
        </w:rPr>
        <w:instrText xml:space="preserve"> XE "</w:instrText>
      </w:r>
      <w:r w:rsidRPr="00A50B4C">
        <w:instrText>Sosyoloji</w:instrText>
      </w:r>
      <w:r>
        <w:instrText>"</w:instrText>
      </w:r>
      <w:r>
        <w:rPr>
          <w:i/>
          <w:szCs w:val="18"/>
        </w:rPr>
        <w:instrText xml:space="preserve"> </w:instrText>
      </w:r>
      <w:r>
        <w:rPr>
          <w:i/>
          <w:szCs w:val="18"/>
        </w:rPr>
        <w:fldChar w:fldCharType="end"/>
      </w:r>
      <w:r w:rsidRPr="00CE1911">
        <w:rPr>
          <w:szCs w:val="18"/>
        </w:rPr>
        <w:t>, s. 39.</w:t>
      </w:r>
    </w:p>
  </w:endnote>
  <w:endnote w:id="14">
    <w:p w:rsidR="00E84C6A" w:rsidRPr="00CE1911" w:rsidRDefault="00E84C6A" w:rsidP="00E84C6A">
      <w:pPr>
        <w:pStyle w:val="SonnotMetni"/>
        <w:spacing w:after="0"/>
        <w:ind w:left="284" w:hanging="284"/>
        <w:rPr>
          <w:szCs w:val="18"/>
        </w:rPr>
      </w:pPr>
      <w:r w:rsidRPr="00CE1911">
        <w:rPr>
          <w:rStyle w:val="SonnotBavurusu"/>
          <w:szCs w:val="18"/>
        </w:rPr>
        <w:endnoteRef/>
      </w:r>
      <w:r w:rsidRPr="00CE1911">
        <w:rPr>
          <w:szCs w:val="18"/>
        </w:rPr>
        <w:t xml:space="preserve"> </w:t>
      </w:r>
      <w:r>
        <w:rPr>
          <w:szCs w:val="18"/>
        </w:rPr>
        <w:tab/>
      </w:r>
      <w:proofErr w:type="spellStart"/>
      <w:r w:rsidRPr="00CE1911">
        <w:rPr>
          <w:szCs w:val="18"/>
        </w:rPr>
        <w:t>Wach</w:t>
      </w:r>
      <w:proofErr w:type="spellEnd"/>
      <w:r w:rsidRPr="00CE1911">
        <w:rPr>
          <w:szCs w:val="18"/>
        </w:rPr>
        <w:t xml:space="preserve">, </w:t>
      </w:r>
      <w:r w:rsidRPr="00CE1911">
        <w:rPr>
          <w:i/>
          <w:szCs w:val="18"/>
        </w:rPr>
        <w:t>Din Sosyolojisi</w:t>
      </w:r>
      <w:r w:rsidRPr="00CE1911">
        <w:rPr>
          <w:szCs w:val="18"/>
        </w:rPr>
        <w:t>, s. 394–395.</w:t>
      </w:r>
    </w:p>
  </w:endnote>
  <w:endnote w:id="15">
    <w:p w:rsidR="00E84C6A" w:rsidRPr="00CE1911" w:rsidRDefault="00E84C6A" w:rsidP="00E84C6A">
      <w:pPr>
        <w:pStyle w:val="SonnotMetni"/>
        <w:spacing w:after="0"/>
        <w:ind w:left="284" w:hanging="284"/>
        <w:rPr>
          <w:szCs w:val="18"/>
        </w:rPr>
      </w:pPr>
      <w:r w:rsidRPr="00CE1911">
        <w:rPr>
          <w:rStyle w:val="SonnotBavurusu"/>
          <w:szCs w:val="18"/>
        </w:rPr>
        <w:endnoteRef/>
      </w:r>
      <w:r w:rsidRPr="00CE1911">
        <w:rPr>
          <w:szCs w:val="18"/>
        </w:rPr>
        <w:t xml:space="preserve"> </w:t>
      </w:r>
      <w:r>
        <w:rPr>
          <w:szCs w:val="18"/>
        </w:rPr>
        <w:tab/>
      </w:r>
      <w:proofErr w:type="spellStart"/>
      <w:r w:rsidRPr="00CE1911">
        <w:rPr>
          <w:szCs w:val="18"/>
        </w:rPr>
        <w:t>Mensching</w:t>
      </w:r>
      <w:proofErr w:type="spellEnd"/>
      <w:r w:rsidRPr="00CE1911">
        <w:rPr>
          <w:szCs w:val="18"/>
        </w:rPr>
        <w:t xml:space="preserve">, </w:t>
      </w:r>
      <w:r w:rsidRPr="00CE1911">
        <w:rPr>
          <w:i/>
          <w:szCs w:val="18"/>
        </w:rPr>
        <w:t>Dini Sosyoloji</w:t>
      </w:r>
      <w:r>
        <w:rPr>
          <w:i/>
          <w:szCs w:val="18"/>
        </w:rPr>
        <w:fldChar w:fldCharType="begin"/>
      </w:r>
      <w:r>
        <w:rPr>
          <w:i/>
          <w:szCs w:val="18"/>
        </w:rPr>
        <w:instrText xml:space="preserve"> XE "</w:instrText>
      </w:r>
      <w:r w:rsidRPr="00A50B4C">
        <w:instrText>Sosyoloji</w:instrText>
      </w:r>
      <w:r>
        <w:instrText>"</w:instrText>
      </w:r>
      <w:r>
        <w:rPr>
          <w:i/>
          <w:szCs w:val="18"/>
        </w:rPr>
        <w:instrText xml:space="preserve"> </w:instrText>
      </w:r>
      <w:r>
        <w:rPr>
          <w:i/>
          <w:szCs w:val="18"/>
        </w:rPr>
        <w:fldChar w:fldCharType="end"/>
      </w:r>
      <w:r w:rsidRPr="00CE1911">
        <w:rPr>
          <w:szCs w:val="18"/>
        </w:rPr>
        <w:t>, s. 40–41.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Franklin Gothic Demi">
    <w:panose1 w:val="020B07030201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7192" w:rsidRDefault="00427192" w:rsidP="00E84C6A">
      <w:pPr>
        <w:spacing w:after="0"/>
      </w:pPr>
      <w:r>
        <w:separator/>
      </w:r>
    </w:p>
  </w:footnote>
  <w:footnote w:type="continuationSeparator" w:id="0">
    <w:p w:rsidR="00427192" w:rsidRDefault="00427192" w:rsidP="00E84C6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C6A"/>
    <w:rsid w:val="00427192"/>
    <w:rsid w:val="0089561F"/>
    <w:rsid w:val="00E84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0FE359-CAA9-401B-9D36-66CF274F0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4C6A"/>
    <w:pPr>
      <w:spacing w:after="120" w:line="240" w:lineRule="auto"/>
      <w:ind w:firstLine="397"/>
      <w:jc w:val="both"/>
    </w:pPr>
    <w:rPr>
      <w:rFonts w:ascii="Times New Roman" w:eastAsia="Times New Roman" w:hAnsi="Times New Roman" w:cs="Times New Roman"/>
      <w:szCs w:val="24"/>
      <w:lang w:eastAsia="tr-TR"/>
    </w:rPr>
  </w:style>
  <w:style w:type="paragraph" w:styleId="Balk1">
    <w:name w:val="heading 1"/>
    <w:basedOn w:val="Normal"/>
    <w:next w:val="Normal"/>
    <w:link w:val="Balk1Char"/>
    <w:autoRedefine/>
    <w:qFormat/>
    <w:rsid w:val="00E84C6A"/>
    <w:pPr>
      <w:keepNext/>
      <w:keepLines/>
      <w:adjustRightInd w:val="0"/>
      <w:spacing w:before="240"/>
      <w:ind w:left="709" w:hanging="284"/>
      <w:jc w:val="left"/>
      <w:textAlignment w:val="baseline"/>
      <w:outlineLvl w:val="0"/>
    </w:pPr>
    <w:rPr>
      <w:b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E84C6A"/>
    <w:rPr>
      <w:rFonts w:ascii="Times New Roman" w:eastAsia="Times New Roman" w:hAnsi="Times New Roman" w:cs="Times New Roman"/>
      <w:b/>
      <w:sz w:val="24"/>
      <w:szCs w:val="24"/>
      <w:lang w:eastAsia="tr-TR"/>
    </w:rPr>
  </w:style>
  <w:style w:type="paragraph" w:styleId="a">
    <w:basedOn w:val="Normal"/>
    <w:next w:val="Altyaz"/>
    <w:qFormat/>
    <w:rsid w:val="00E84C6A"/>
    <w:pPr>
      <w:suppressAutoHyphens/>
      <w:spacing w:before="1701" w:after="360"/>
      <w:ind w:firstLine="0"/>
      <w:jc w:val="center"/>
    </w:pPr>
    <w:rPr>
      <w:rFonts w:ascii="Franklin Gothic Demi" w:hAnsi="Franklin Gothic Demi"/>
      <w:sz w:val="28"/>
      <w:szCs w:val="28"/>
    </w:rPr>
  </w:style>
  <w:style w:type="character" w:styleId="SonnotBavurusu">
    <w:name w:val="endnote reference"/>
    <w:basedOn w:val="VarsaylanParagrafYazTipi"/>
    <w:semiHidden/>
    <w:rsid w:val="00E84C6A"/>
    <w:rPr>
      <w:vertAlign w:val="superscript"/>
    </w:rPr>
  </w:style>
  <w:style w:type="paragraph" w:styleId="SonnotMetni">
    <w:name w:val="endnote text"/>
    <w:basedOn w:val="Normal"/>
    <w:link w:val="SonnotMetniChar"/>
    <w:semiHidden/>
    <w:rsid w:val="00E84C6A"/>
    <w:rPr>
      <w:sz w:val="18"/>
      <w:szCs w:val="20"/>
    </w:rPr>
  </w:style>
  <w:style w:type="character" w:customStyle="1" w:styleId="SonnotMetniChar">
    <w:name w:val="Sonnot Metni Char"/>
    <w:basedOn w:val="VarsaylanParagrafYazTipi"/>
    <w:link w:val="SonnotMetni"/>
    <w:semiHidden/>
    <w:rsid w:val="00E84C6A"/>
    <w:rPr>
      <w:rFonts w:ascii="Times New Roman" w:eastAsia="Times New Roman" w:hAnsi="Times New Roman" w:cs="Times New Roman"/>
      <w:sz w:val="18"/>
      <w:szCs w:val="20"/>
      <w:lang w:eastAsia="tr-TR"/>
    </w:rPr>
  </w:style>
  <w:style w:type="paragraph" w:customStyle="1" w:styleId="SDarYaz">
    <w:name w:val="S. Dar Yazı"/>
    <w:basedOn w:val="Normal"/>
    <w:link w:val="SDarYazChar"/>
    <w:qFormat/>
    <w:rsid w:val="00E84C6A"/>
    <w:pPr>
      <w:spacing w:before="120"/>
    </w:pPr>
    <w:rPr>
      <w:spacing w:val="-2"/>
    </w:rPr>
  </w:style>
  <w:style w:type="character" w:customStyle="1" w:styleId="SDarYazChar">
    <w:name w:val="S. Dar Yazı Char"/>
    <w:basedOn w:val="VarsaylanParagrafYazTipi"/>
    <w:link w:val="SDarYaz"/>
    <w:rsid w:val="00E84C6A"/>
    <w:rPr>
      <w:rFonts w:ascii="Times New Roman" w:eastAsia="Times New Roman" w:hAnsi="Times New Roman" w:cs="Times New Roman"/>
      <w:spacing w:val="-2"/>
      <w:szCs w:val="24"/>
      <w:lang w:eastAsia="tr-TR"/>
    </w:rPr>
  </w:style>
  <w:style w:type="paragraph" w:styleId="Altyaz">
    <w:name w:val="Subtitle"/>
    <w:basedOn w:val="Normal"/>
    <w:next w:val="Normal"/>
    <w:link w:val="AltyazChar"/>
    <w:uiPriority w:val="11"/>
    <w:qFormat/>
    <w:rsid w:val="00E84C6A"/>
    <w:pPr>
      <w:numPr>
        <w:ilvl w:val="1"/>
      </w:numPr>
      <w:spacing w:after="160"/>
      <w:ind w:firstLine="397"/>
    </w:pPr>
    <w:rPr>
      <w:rFonts w:asciiTheme="minorHAnsi" w:eastAsiaTheme="minorEastAsia" w:hAnsiTheme="minorHAnsi" w:cstheme="minorBidi"/>
      <w:color w:val="5A5A5A" w:themeColor="text1" w:themeTint="A5"/>
      <w:spacing w:val="15"/>
      <w:szCs w:val="22"/>
    </w:rPr>
  </w:style>
  <w:style w:type="character" w:customStyle="1" w:styleId="AltyazChar">
    <w:name w:val="Altyazı Char"/>
    <w:basedOn w:val="VarsaylanParagrafYazTipi"/>
    <w:link w:val="Altyaz"/>
    <w:uiPriority w:val="11"/>
    <w:rsid w:val="00E84C6A"/>
    <w:rPr>
      <w:rFonts w:eastAsiaTheme="minorEastAsia"/>
      <w:color w:val="5A5A5A" w:themeColor="text1" w:themeTint="A5"/>
      <w:spacing w:val="15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1858</Words>
  <Characters>10597</Characters>
  <Application>Microsoft Office Word</Application>
  <DocSecurity>0</DocSecurity>
  <Lines>88</Lines>
  <Paragraphs>24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akyüz</dc:creator>
  <cp:keywords/>
  <dc:description/>
  <cp:lastModifiedBy>akyüz</cp:lastModifiedBy>
  <cp:revision>1</cp:revision>
  <dcterms:created xsi:type="dcterms:W3CDTF">2018-01-10T13:42:00Z</dcterms:created>
  <dcterms:modified xsi:type="dcterms:W3CDTF">2018-01-10T13:42:00Z</dcterms:modified>
</cp:coreProperties>
</file>