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7F4" w:rsidRDefault="00E537F4" w:rsidP="00E537F4">
      <w:pPr>
        <w:pStyle w:val="Balk3"/>
        <w:spacing w:before="100" w:beforeAutospacing="1" w:after="100" w:afterAutospacing="1" w:line="360" w:lineRule="auto"/>
        <w:jc w:val="both"/>
        <w:rPr>
          <w:rFonts w:ascii="Times New Roman" w:hAnsi="Times New Roman"/>
        </w:rPr>
      </w:pPr>
      <w:r w:rsidRPr="00E537F4">
        <w:rPr>
          <w:rFonts w:ascii="Times New Roman" w:hAnsi="Times New Roman"/>
        </w:rPr>
        <w:t>TÜRK BORÇLAR KANUNU’NDA DÜZENLENMEMİŞ (İSİMSİZ) SÖZLEŞMELER</w:t>
      </w:r>
    </w:p>
    <w:p w:rsidR="00E537F4" w:rsidRPr="00E537F4" w:rsidRDefault="00E537F4" w:rsidP="00E537F4">
      <w:pPr>
        <w:pStyle w:val="Balk3"/>
        <w:spacing w:before="100" w:beforeAutospacing="1" w:after="100" w:afterAutospacing="1" w:line="360" w:lineRule="auto"/>
        <w:jc w:val="both"/>
        <w:rPr>
          <w:rFonts w:ascii="Times New Roman" w:hAnsi="Times New Roman"/>
        </w:rPr>
      </w:pPr>
      <w:r w:rsidRPr="00E537F4">
        <w:rPr>
          <w:rFonts w:ascii="Times New Roman" w:hAnsi="Times New Roman"/>
        </w:rPr>
        <w:t>Bileşik sözleşmeler</w:t>
      </w:r>
    </w:p>
    <w:p w:rsidR="00E537F4" w:rsidRPr="00E537F4" w:rsidRDefault="00E537F4" w:rsidP="00872F16">
      <w:pPr>
        <w:spacing w:before="100" w:beforeAutospacing="1" w:after="100" w:afterAutospacing="1" w:line="360" w:lineRule="auto"/>
        <w:ind w:firstLine="708"/>
        <w:jc w:val="both"/>
        <w:rPr>
          <w:rFonts w:ascii="Times New Roman" w:hAnsi="Times New Roman" w:cs="Times New Roman"/>
          <w:spacing w:val="-2"/>
          <w:sz w:val="24"/>
          <w:szCs w:val="24"/>
        </w:rPr>
      </w:pPr>
      <w:r w:rsidRPr="00E537F4">
        <w:rPr>
          <w:rFonts w:ascii="Times New Roman" w:hAnsi="Times New Roman" w:cs="Times New Roman"/>
          <w:spacing w:val="-2"/>
          <w:sz w:val="24"/>
          <w:szCs w:val="24"/>
        </w:rPr>
        <w:t>Bileşik sözleşmeler, birbirinden hukuken bağımsız ve farklı iki (veya daha çok) sözleşmenin, mahiyetlerine halel gelmeksizin, (iktisadî) fonksiyon itibariyle birbirine bağlanmasıdır. Öyle ki, edim-karşı edim ilişkisi içinde bulunan bu sözleşmelerden, birinin geçerliliği veya yerine getirilmesi diğerininkine bağlı, yani onun için işlem temeli sayılır.</w:t>
      </w:r>
    </w:p>
    <w:p w:rsidR="00E537F4" w:rsidRPr="00E537F4" w:rsidRDefault="00E537F4" w:rsidP="00872F16">
      <w:pPr>
        <w:spacing w:before="100" w:beforeAutospacing="1" w:after="100" w:afterAutospacing="1" w:line="360" w:lineRule="auto"/>
        <w:ind w:firstLine="708"/>
        <w:jc w:val="both"/>
        <w:rPr>
          <w:rFonts w:ascii="Times New Roman" w:hAnsi="Times New Roman" w:cs="Times New Roman"/>
          <w:sz w:val="24"/>
          <w:szCs w:val="24"/>
        </w:rPr>
      </w:pPr>
      <w:r w:rsidRPr="00E537F4">
        <w:rPr>
          <w:rFonts w:ascii="Times New Roman" w:hAnsi="Times New Roman" w:cs="Times New Roman"/>
          <w:sz w:val="24"/>
          <w:szCs w:val="24"/>
        </w:rPr>
        <w:t>Birden çok sözleşmenin bileşik sözleşme karakterini taşıyıp taşımadığı, tarafların iradelerine ve iktisadî fonksiyonlarının bütünlüğüne göre belirlenir.</w:t>
      </w:r>
    </w:p>
    <w:p w:rsidR="00E537F4" w:rsidRPr="00E537F4" w:rsidRDefault="00E537F4" w:rsidP="00872F16">
      <w:pPr>
        <w:spacing w:before="100" w:beforeAutospacing="1" w:after="100" w:afterAutospacing="1" w:line="360" w:lineRule="auto"/>
        <w:ind w:firstLine="708"/>
        <w:jc w:val="both"/>
        <w:rPr>
          <w:rFonts w:ascii="Times New Roman" w:hAnsi="Times New Roman" w:cs="Times New Roman"/>
          <w:sz w:val="24"/>
          <w:szCs w:val="24"/>
        </w:rPr>
      </w:pPr>
      <w:r w:rsidRPr="00E537F4">
        <w:rPr>
          <w:rFonts w:ascii="Times New Roman" w:hAnsi="Times New Roman" w:cs="Times New Roman"/>
          <w:sz w:val="24"/>
          <w:szCs w:val="24"/>
        </w:rPr>
        <w:t>Örnekler: Bira imal eden bir firmanın sadece kendisinden bira almayı taahhüt eden bir müşteriye ödünç para vermesi. Taşınmaz satışı ve alıcının satıcıya elektrik enerjisi verme taahhüdü</w:t>
      </w:r>
      <w:r w:rsidR="00A04707">
        <w:rPr>
          <w:rFonts w:ascii="Times New Roman" w:hAnsi="Times New Roman" w:cs="Times New Roman"/>
          <w:sz w:val="24"/>
          <w:szCs w:val="24"/>
        </w:rPr>
        <w:t>.</w:t>
      </w:r>
      <w:r w:rsidRPr="00E537F4">
        <w:rPr>
          <w:rFonts w:ascii="Times New Roman" w:hAnsi="Times New Roman" w:cs="Times New Roman"/>
          <w:sz w:val="24"/>
          <w:szCs w:val="24"/>
        </w:rPr>
        <w:t xml:space="preserve"> Bir ke</w:t>
      </w:r>
      <w:r w:rsidRPr="00E537F4">
        <w:rPr>
          <w:rFonts w:ascii="Times New Roman" w:hAnsi="Times New Roman" w:cs="Times New Roman"/>
          <w:sz w:val="24"/>
          <w:szCs w:val="24"/>
        </w:rPr>
        <w:softHyphen/>
        <w:t>reste satıcısının inşaat kredisi vermesi ve alıcının inşaatta kullanılacak keresteleri satın alma taahhüdü</w:t>
      </w:r>
      <w:r w:rsidR="00A04707">
        <w:rPr>
          <w:rFonts w:ascii="Times New Roman" w:hAnsi="Times New Roman" w:cs="Times New Roman"/>
          <w:sz w:val="24"/>
          <w:szCs w:val="24"/>
        </w:rPr>
        <w:t>.</w:t>
      </w:r>
    </w:p>
    <w:p w:rsidR="00F15CAB" w:rsidRDefault="00E537F4" w:rsidP="00872F16">
      <w:pPr>
        <w:spacing w:before="100" w:beforeAutospacing="1" w:after="100" w:afterAutospacing="1" w:line="360" w:lineRule="auto"/>
        <w:ind w:firstLine="708"/>
        <w:jc w:val="both"/>
        <w:rPr>
          <w:rFonts w:ascii="Times New Roman" w:hAnsi="Times New Roman" w:cs="Times New Roman"/>
          <w:sz w:val="24"/>
          <w:szCs w:val="24"/>
        </w:rPr>
      </w:pPr>
      <w:r w:rsidRPr="00E537F4">
        <w:rPr>
          <w:rFonts w:ascii="Times New Roman" w:hAnsi="Times New Roman" w:cs="Times New Roman"/>
          <w:sz w:val="24"/>
          <w:szCs w:val="24"/>
        </w:rPr>
        <w:t>İsimsiz sözleşmelerden kendine özgü sözleşmelerin özellikleri, bunların sık rastlanan türleri ve uygulanacak hükümler anlatılmaktadır.</w:t>
      </w:r>
    </w:p>
    <w:p w:rsidR="00872F16" w:rsidRPr="00872F16" w:rsidRDefault="00872F16" w:rsidP="00872F16">
      <w:pPr>
        <w:pStyle w:val="Balk1"/>
      </w:pPr>
      <w:r w:rsidRPr="00872F16">
        <w:t>Kendisine Özgü Yapısı Olan Sözleşmeler</w:t>
      </w:r>
    </w:p>
    <w:p w:rsidR="00872F16" w:rsidRDefault="00872F16" w:rsidP="00872F16">
      <w:pPr>
        <w:spacing w:before="100" w:beforeAutospacing="1" w:after="100" w:afterAutospacing="1" w:line="360" w:lineRule="auto"/>
        <w:ind w:firstLine="708"/>
        <w:jc w:val="both"/>
        <w:rPr>
          <w:rFonts w:ascii="Times New Roman" w:hAnsi="Times New Roman" w:cs="Times New Roman"/>
          <w:sz w:val="24"/>
          <w:szCs w:val="24"/>
        </w:rPr>
      </w:pPr>
      <w:r w:rsidRPr="00872F16">
        <w:rPr>
          <w:rFonts w:ascii="Times New Roman" w:hAnsi="Times New Roman" w:cs="Times New Roman"/>
          <w:sz w:val="24"/>
          <w:szCs w:val="24"/>
        </w:rPr>
        <w:t>Bu tür sözleşmeler, kısmen veya tamamen, kanunda düzenlenmiş sözleşme tiplerinde bulunmayan unsurlardan meydana gelir. Kendisine özgü yapısı olan sözleşmelere başlıca sulh, satış için bırakma, tek satıcılık, tahkim ve sporcu transfer sözleşme</w:t>
      </w:r>
      <w:r w:rsidRPr="00872F16">
        <w:rPr>
          <w:rFonts w:ascii="Times New Roman" w:hAnsi="Times New Roman" w:cs="Times New Roman"/>
          <w:sz w:val="24"/>
          <w:szCs w:val="24"/>
        </w:rPr>
        <w:softHyphen/>
        <w:t>leri</w:t>
      </w:r>
      <w:r>
        <w:rPr>
          <w:rFonts w:ascii="Times New Roman" w:hAnsi="Times New Roman" w:cs="Times New Roman"/>
          <w:sz w:val="24"/>
          <w:szCs w:val="24"/>
        </w:rPr>
        <w:t xml:space="preserve"> örnek</w:t>
      </w:r>
      <w:r w:rsidRPr="00872F16">
        <w:rPr>
          <w:rFonts w:ascii="Times New Roman" w:hAnsi="Times New Roman" w:cs="Times New Roman"/>
          <w:sz w:val="24"/>
          <w:szCs w:val="24"/>
        </w:rPr>
        <w:t xml:space="preserve"> gösterilmektedir</w:t>
      </w:r>
      <w:r>
        <w:rPr>
          <w:rFonts w:ascii="Times New Roman" w:hAnsi="Times New Roman" w:cs="Times New Roman"/>
          <w:sz w:val="24"/>
          <w:szCs w:val="24"/>
        </w:rPr>
        <w:t>.</w:t>
      </w:r>
    </w:p>
    <w:p w:rsidR="00997662" w:rsidRPr="00997662" w:rsidRDefault="00997662" w:rsidP="00997662">
      <w:pPr>
        <w:pStyle w:val="Balk2"/>
        <w:spacing w:before="100" w:beforeAutospacing="1" w:after="100" w:afterAutospacing="1" w:line="360" w:lineRule="auto"/>
        <w:jc w:val="both"/>
        <w:rPr>
          <w:rFonts w:ascii="Times New Roman" w:hAnsi="Times New Roman" w:cs="Times New Roman"/>
          <w:b/>
          <w:color w:val="auto"/>
          <w:sz w:val="24"/>
          <w:szCs w:val="24"/>
        </w:rPr>
      </w:pPr>
      <w:r w:rsidRPr="00997662">
        <w:rPr>
          <w:rFonts w:ascii="Times New Roman" w:hAnsi="Times New Roman" w:cs="Times New Roman"/>
          <w:b/>
          <w:color w:val="auto"/>
          <w:sz w:val="24"/>
          <w:szCs w:val="24"/>
        </w:rPr>
        <w:t>HUKUK KURALLARININ UYGULANMASI</w:t>
      </w:r>
    </w:p>
    <w:p w:rsidR="00997662" w:rsidRPr="0015376C" w:rsidRDefault="00997662" w:rsidP="00997662">
      <w:pPr>
        <w:spacing w:before="100" w:beforeAutospacing="1" w:after="100" w:afterAutospacing="1" w:line="360" w:lineRule="auto"/>
        <w:ind w:firstLine="708"/>
        <w:jc w:val="both"/>
        <w:rPr>
          <w:rFonts w:ascii="Times New Roman" w:hAnsi="Times New Roman" w:cs="Times New Roman"/>
          <w:sz w:val="24"/>
          <w:szCs w:val="24"/>
        </w:rPr>
      </w:pPr>
      <w:r w:rsidRPr="0015376C">
        <w:rPr>
          <w:rFonts w:ascii="Times New Roman" w:hAnsi="Times New Roman" w:cs="Times New Roman"/>
          <w:sz w:val="24"/>
          <w:szCs w:val="24"/>
        </w:rPr>
        <w:t>İsimsiz sözleşmelerle ilgili anlaşmazlıkların çözümü, bu sözleşmelerin yorumlanması ve tamamlanması suretiyle gerçekleşir.</w:t>
      </w:r>
      <w:r>
        <w:rPr>
          <w:rFonts w:ascii="Times New Roman" w:hAnsi="Times New Roman" w:cs="Times New Roman"/>
          <w:sz w:val="24"/>
          <w:szCs w:val="24"/>
        </w:rPr>
        <w:t xml:space="preserve"> </w:t>
      </w:r>
      <w:r w:rsidRPr="0015376C">
        <w:rPr>
          <w:rFonts w:ascii="Times New Roman" w:hAnsi="Times New Roman" w:cs="Times New Roman"/>
          <w:sz w:val="24"/>
          <w:szCs w:val="24"/>
        </w:rPr>
        <w:t>İsimsiz sözleşmelerin yorumlanması, kanunda düzenlenen sözleşmelerin yorumundan farklı değildir. Buna göre, isimsiz sözleşmeyi kuran taraf iradeleri güven ilkesine göre yorumlanır. Böylece, tarafların irade beyanları, mevcut şartlar içinde makul ve dürüst bir muhatabın bu beyana vermesi gereken anlama uygun olarak yorumlanır.</w:t>
      </w:r>
      <w:r>
        <w:rPr>
          <w:rFonts w:ascii="Times New Roman" w:hAnsi="Times New Roman" w:cs="Times New Roman"/>
          <w:sz w:val="24"/>
          <w:szCs w:val="24"/>
        </w:rPr>
        <w:t xml:space="preserve"> </w:t>
      </w:r>
      <w:r w:rsidRPr="0015376C">
        <w:rPr>
          <w:rFonts w:ascii="Times New Roman" w:hAnsi="Times New Roman" w:cs="Times New Roman"/>
          <w:sz w:val="24"/>
          <w:szCs w:val="24"/>
        </w:rPr>
        <w:t>Böyle bir yorumdan, sözleşme hükümlerinin anlaşmazlığa uygulanacak bir kural ihtiva etmediği sonucuna varılırsa, bu takdirde bir sözleşme boşluğu karşısında bulunulur. Bu boşluk, sözleşmenin tamamlanması suretiyle doldurulur.</w:t>
      </w:r>
    </w:p>
    <w:p w:rsidR="00997662" w:rsidRPr="0015376C" w:rsidRDefault="00997662" w:rsidP="00997662">
      <w:pPr>
        <w:pStyle w:val="Balk3"/>
        <w:spacing w:before="100" w:beforeAutospacing="1" w:after="100" w:afterAutospacing="1" w:line="360" w:lineRule="auto"/>
        <w:jc w:val="both"/>
        <w:rPr>
          <w:rFonts w:ascii="Times New Roman" w:hAnsi="Times New Roman"/>
        </w:rPr>
      </w:pPr>
      <w:r w:rsidRPr="0015376C">
        <w:rPr>
          <w:rFonts w:ascii="Times New Roman" w:hAnsi="Times New Roman"/>
        </w:rPr>
        <w:lastRenderedPageBreak/>
        <w:t>İsimsiz sözleşmelerin tamamlanması</w:t>
      </w:r>
    </w:p>
    <w:p w:rsidR="00997662" w:rsidRPr="0015376C" w:rsidRDefault="00997662" w:rsidP="00997662">
      <w:pPr>
        <w:spacing w:before="100" w:beforeAutospacing="1" w:after="100" w:afterAutospacing="1" w:line="360" w:lineRule="auto"/>
        <w:ind w:firstLine="708"/>
        <w:jc w:val="both"/>
        <w:rPr>
          <w:rFonts w:ascii="Times New Roman" w:hAnsi="Times New Roman" w:cs="Times New Roman"/>
          <w:sz w:val="24"/>
          <w:szCs w:val="24"/>
        </w:rPr>
      </w:pPr>
      <w:r w:rsidRPr="0015376C">
        <w:rPr>
          <w:rFonts w:ascii="Times New Roman" w:hAnsi="Times New Roman" w:cs="Times New Roman"/>
          <w:sz w:val="24"/>
          <w:szCs w:val="24"/>
        </w:rPr>
        <w:t xml:space="preserve">İsimsiz sözleşmelerin tamamlanması, yorumlarında olduğu gibi, kanunda düzenlenmiş sözleşmelerin tamamlanmasına ilişkin esaslara tâbidir. Burada da, Borçlar Kanunu’nun genel hükümlerinin, örf ve </w:t>
      </w:r>
      <w:r w:rsidRPr="0015376C">
        <w:rPr>
          <w:rFonts w:ascii="Times New Roman" w:hAnsi="Times New Roman" w:cs="Times New Roman"/>
          <w:sz w:val="24"/>
          <w:szCs w:val="24"/>
        </w:rPr>
        <w:sym w:font="Times New Roman" w:char="00E2"/>
      </w:r>
      <w:r w:rsidRPr="0015376C">
        <w:rPr>
          <w:rFonts w:ascii="Times New Roman" w:hAnsi="Times New Roman" w:cs="Times New Roman"/>
          <w:sz w:val="24"/>
          <w:szCs w:val="24"/>
        </w:rPr>
        <w:t>det hukuku kurallarının, ticarî teamüllerin ve TBK’nın özel hükümlerinin uygulanıp uygulanmayacağı hususları araştırılır.</w:t>
      </w:r>
    </w:p>
    <w:p w:rsidR="00997662" w:rsidRPr="0015376C" w:rsidRDefault="00997662" w:rsidP="00997662">
      <w:pPr>
        <w:pStyle w:val="Balk4"/>
        <w:spacing w:before="100" w:beforeAutospacing="1" w:after="100" w:afterAutospacing="1"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w:t>
      </w:r>
      <w:r w:rsidRPr="0015376C">
        <w:rPr>
          <w:rFonts w:ascii="Times New Roman" w:hAnsi="Times New Roman" w:cs="Times New Roman"/>
          <w:color w:val="auto"/>
          <w:sz w:val="24"/>
          <w:szCs w:val="24"/>
        </w:rPr>
        <w:t>Karma sözleşmelerin tamamlanması</w:t>
      </w:r>
    </w:p>
    <w:p w:rsidR="00997662" w:rsidRPr="0015376C" w:rsidRDefault="00997662" w:rsidP="00997662">
      <w:pPr>
        <w:spacing w:before="100" w:beforeAutospacing="1" w:after="100" w:afterAutospacing="1" w:line="360" w:lineRule="auto"/>
        <w:ind w:firstLine="708"/>
        <w:jc w:val="both"/>
        <w:rPr>
          <w:rFonts w:ascii="Times New Roman" w:hAnsi="Times New Roman" w:cs="Times New Roman"/>
          <w:sz w:val="24"/>
          <w:szCs w:val="24"/>
        </w:rPr>
      </w:pPr>
      <w:r w:rsidRPr="0015376C">
        <w:rPr>
          <w:rFonts w:ascii="Times New Roman" w:hAnsi="Times New Roman" w:cs="Times New Roman"/>
          <w:sz w:val="24"/>
          <w:szCs w:val="24"/>
        </w:rPr>
        <w:t>Karma sözleşmelerdeki uygulanacak hükümlere ilişkin sözleşme boşluğunun giderilmesi için doktrin ve uygulamada aşağıdaki görüşler ileri sürülmüştür</w:t>
      </w:r>
      <w:r>
        <w:rPr>
          <w:rFonts w:ascii="Times New Roman" w:hAnsi="Times New Roman" w:cs="Times New Roman"/>
          <w:sz w:val="24"/>
          <w:szCs w:val="24"/>
        </w:rPr>
        <w:t>.</w:t>
      </w:r>
    </w:p>
    <w:p w:rsidR="00997662" w:rsidRPr="0015376C" w:rsidRDefault="00997662" w:rsidP="00997662">
      <w:pPr>
        <w:pStyle w:val="Balk5"/>
        <w:spacing w:before="100" w:beforeAutospacing="1" w:after="100" w:afterAutospacing="1"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w:t>
      </w:r>
      <w:r w:rsidRPr="0015376C">
        <w:rPr>
          <w:rFonts w:ascii="Times New Roman" w:hAnsi="Times New Roman" w:cs="Times New Roman"/>
          <w:color w:val="auto"/>
          <w:sz w:val="24"/>
          <w:szCs w:val="24"/>
        </w:rPr>
        <w:t xml:space="preserve"> Soğurma (imtisas) teorisi</w:t>
      </w:r>
    </w:p>
    <w:p w:rsidR="00997662" w:rsidRPr="0015376C" w:rsidRDefault="00997662" w:rsidP="00997662">
      <w:pPr>
        <w:spacing w:before="100" w:beforeAutospacing="1" w:after="100" w:afterAutospacing="1" w:line="360" w:lineRule="auto"/>
        <w:ind w:firstLine="708"/>
        <w:jc w:val="both"/>
        <w:rPr>
          <w:rFonts w:ascii="Times New Roman" w:hAnsi="Times New Roman" w:cs="Times New Roman"/>
          <w:sz w:val="24"/>
          <w:szCs w:val="24"/>
        </w:rPr>
      </w:pPr>
      <w:r w:rsidRPr="0015376C">
        <w:rPr>
          <w:rFonts w:ascii="Times New Roman" w:hAnsi="Times New Roman" w:cs="Times New Roman"/>
          <w:sz w:val="24"/>
          <w:szCs w:val="24"/>
        </w:rPr>
        <w:t xml:space="preserve">Bu teoriye göre, karma sözleşmelerde, bu sözleşmelerde yer </w:t>
      </w:r>
      <w:r w:rsidRPr="0015376C">
        <w:rPr>
          <w:rFonts w:ascii="Times New Roman" w:hAnsi="Times New Roman" w:cs="Times New Roman"/>
          <w:sz w:val="24"/>
          <w:szCs w:val="24"/>
        </w:rPr>
        <w:br/>
        <w:t>alan h</w:t>
      </w:r>
      <w:r w:rsidRPr="0015376C">
        <w:rPr>
          <w:rFonts w:ascii="Times New Roman" w:hAnsi="Times New Roman" w:cs="Times New Roman"/>
          <w:sz w:val="24"/>
          <w:szCs w:val="24"/>
        </w:rPr>
        <w:sym w:font="Times New Roman" w:char="00E2"/>
      </w:r>
      <w:r w:rsidRPr="0015376C">
        <w:rPr>
          <w:rFonts w:ascii="Times New Roman" w:hAnsi="Times New Roman" w:cs="Times New Roman"/>
          <w:sz w:val="24"/>
          <w:szCs w:val="24"/>
        </w:rPr>
        <w:t>kim tipe (unsura) ait hükümler uygulanmalıdır; h</w:t>
      </w:r>
      <w:r w:rsidRPr="0015376C">
        <w:rPr>
          <w:rFonts w:ascii="Times New Roman" w:hAnsi="Times New Roman" w:cs="Times New Roman"/>
          <w:sz w:val="24"/>
          <w:szCs w:val="24"/>
        </w:rPr>
        <w:sym w:font="Times New Roman" w:char="00E2"/>
      </w:r>
      <w:r w:rsidRPr="0015376C">
        <w:rPr>
          <w:rFonts w:ascii="Times New Roman" w:hAnsi="Times New Roman" w:cs="Times New Roman"/>
          <w:sz w:val="24"/>
          <w:szCs w:val="24"/>
        </w:rPr>
        <w:t>kim sözleşme tipi, diğer unsurlar için öngörülen hukukî sonuçları kendi bünyesinde eritir. Bu görüş, kendisine yabancı yan edimler ihtiva eden sözleşmelerde rahatlıkla uygulama alanı bulur. Bunun yanında, bu teori, açıklığı ve sadeliği sebebiyle yargı içtihatlarında da kabul görmüştür. İsviçre Federal Mahkemesi, hisse senetlerinin müştereken tevdiinde vedia unsuru yanında, bankanın hizmet edimlerinin ağırlıklı olduğu gerekçesiyle, vek</w:t>
      </w:r>
      <w:r w:rsidRPr="0015376C">
        <w:rPr>
          <w:rFonts w:ascii="Times New Roman" w:hAnsi="Times New Roman" w:cs="Times New Roman"/>
          <w:sz w:val="24"/>
          <w:szCs w:val="24"/>
        </w:rPr>
        <w:sym w:font="Times New Roman" w:char="00E2"/>
      </w:r>
      <w:r w:rsidRPr="0015376C">
        <w:rPr>
          <w:rFonts w:ascii="Times New Roman" w:hAnsi="Times New Roman" w:cs="Times New Roman"/>
          <w:sz w:val="24"/>
          <w:szCs w:val="24"/>
        </w:rPr>
        <w:t>let hükümlerini uygulamıştır. Keza, diş te</w:t>
      </w:r>
      <w:r w:rsidRPr="0015376C">
        <w:rPr>
          <w:rFonts w:ascii="Times New Roman" w:hAnsi="Times New Roman" w:cs="Times New Roman"/>
          <w:sz w:val="24"/>
          <w:szCs w:val="24"/>
        </w:rPr>
        <w:softHyphen/>
        <w:t>davisi dolayısıyla muhtemel eserlerin imalini vek</w:t>
      </w:r>
      <w:r w:rsidRPr="0015376C">
        <w:rPr>
          <w:rFonts w:ascii="Times New Roman" w:hAnsi="Times New Roman" w:cs="Times New Roman"/>
          <w:sz w:val="24"/>
          <w:szCs w:val="24"/>
        </w:rPr>
        <w:sym w:font="Times New Roman" w:char="00E2"/>
      </w:r>
      <w:r w:rsidRPr="0015376C">
        <w:rPr>
          <w:rFonts w:ascii="Times New Roman" w:hAnsi="Times New Roman" w:cs="Times New Roman"/>
          <w:sz w:val="24"/>
          <w:szCs w:val="24"/>
        </w:rPr>
        <w:t>lete dahil saymış, otomat işletme sözleşmesinde kira karakteri h</w:t>
      </w:r>
      <w:r w:rsidRPr="0015376C">
        <w:rPr>
          <w:rFonts w:ascii="Times New Roman" w:hAnsi="Times New Roman" w:cs="Times New Roman"/>
          <w:sz w:val="24"/>
          <w:szCs w:val="24"/>
        </w:rPr>
        <w:sym w:font="Times New Roman" w:char="00E2"/>
      </w:r>
      <w:r w:rsidRPr="0015376C">
        <w:rPr>
          <w:rFonts w:ascii="Times New Roman" w:hAnsi="Times New Roman" w:cs="Times New Roman"/>
          <w:sz w:val="24"/>
          <w:szCs w:val="24"/>
        </w:rPr>
        <w:t>kim görülmüştür.</w:t>
      </w:r>
    </w:p>
    <w:p w:rsidR="00997662" w:rsidRPr="0015376C" w:rsidRDefault="00997662" w:rsidP="00997662">
      <w:pPr>
        <w:pStyle w:val="Balk5"/>
        <w:spacing w:before="100" w:beforeAutospacing="1" w:after="100" w:afterAutospacing="1"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b. </w:t>
      </w:r>
      <w:r w:rsidRPr="0015376C">
        <w:rPr>
          <w:rFonts w:ascii="Times New Roman" w:hAnsi="Times New Roman" w:cs="Times New Roman"/>
          <w:color w:val="auto"/>
          <w:sz w:val="24"/>
          <w:szCs w:val="24"/>
        </w:rPr>
        <w:t>Kıyas yoluyla uygulama</w:t>
      </w:r>
    </w:p>
    <w:p w:rsidR="00997662" w:rsidRPr="0015376C" w:rsidRDefault="00997662" w:rsidP="00997662">
      <w:pPr>
        <w:spacing w:before="100" w:beforeAutospacing="1" w:after="100" w:afterAutospacing="1" w:line="360" w:lineRule="auto"/>
        <w:ind w:firstLine="708"/>
        <w:jc w:val="both"/>
        <w:rPr>
          <w:rFonts w:ascii="Times New Roman" w:hAnsi="Times New Roman" w:cs="Times New Roman"/>
          <w:sz w:val="24"/>
          <w:szCs w:val="24"/>
        </w:rPr>
      </w:pPr>
      <w:r w:rsidRPr="0015376C">
        <w:rPr>
          <w:rFonts w:ascii="Times New Roman" w:hAnsi="Times New Roman" w:cs="Times New Roman"/>
          <w:sz w:val="24"/>
          <w:szCs w:val="24"/>
        </w:rPr>
        <w:t>Buna göre, kanunla düzenlenmiş sözleşmelere ait hükümler, doğrudan doğruya değil, kıyas yoluyla uygulanır. Ancak kıyas yoluyla uygulama için gerekli olan, her iki olayın benzerliği şartının gerçekleşmesi gerekir.</w:t>
      </w:r>
    </w:p>
    <w:p w:rsidR="00997662" w:rsidRPr="0015376C" w:rsidRDefault="00997662" w:rsidP="00997662">
      <w:pPr>
        <w:pStyle w:val="Balk5"/>
        <w:spacing w:before="100" w:beforeAutospacing="1" w:after="100" w:afterAutospacing="1"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c.</w:t>
      </w:r>
      <w:r w:rsidRPr="0015376C">
        <w:rPr>
          <w:rFonts w:ascii="Times New Roman" w:hAnsi="Times New Roman" w:cs="Times New Roman"/>
          <w:color w:val="auto"/>
          <w:sz w:val="24"/>
          <w:szCs w:val="24"/>
        </w:rPr>
        <w:t xml:space="preserve"> Terkip (kombinezon) teorisi</w:t>
      </w:r>
    </w:p>
    <w:p w:rsidR="00997662" w:rsidRPr="0015376C" w:rsidRDefault="00997662" w:rsidP="00997662">
      <w:pPr>
        <w:spacing w:before="100" w:beforeAutospacing="1" w:after="100" w:afterAutospacing="1" w:line="360" w:lineRule="auto"/>
        <w:ind w:firstLine="708"/>
        <w:jc w:val="both"/>
        <w:rPr>
          <w:rFonts w:ascii="Times New Roman" w:hAnsi="Times New Roman" w:cs="Times New Roman"/>
          <w:sz w:val="24"/>
          <w:szCs w:val="24"/>
        </w:rPr>
      </w:pPr>
      <w:r w:rsidRPr="0015376C">
        <w:rPr>
          <w:rFonts w:ascii="Times New Roman" w:hAnsi="Times New Roman" w:cs="Times New Roman"/>
          <w:sz w:val="24"/>
          <w:szCs w:val="24"/>
        </w:rPr>
        <w:t>Karma sözleşmeyi kanunda düzenlenmiş sözleşme tiplerinde mevcut unsurların yeni bir sentezi olarak anlayan bu teoriye göre, karma sözleşmelerdeki her unsura, ait olduğu sözleşme tiplerine ait unsurlar uygulanmalıdır. İsviçre Federal Mahkemesi, tam mimarlık sözleşmesinde, mimarın pl</w:t>
      </w:r>
      <w:r w:rsidRPr="0015376C">
        <w:rPr>
          <w:rFonts w:ascii="Times New Roman" w:hAnsi="Times New Roman" w:cs="Times New Roman"/>
          <w:sz w:val="24"/>
          <w:szCs w:val="24"/>
        </w:rPr>
        <w:sym w:font="Times New Roman" w:char="00E2"/>
      </w:r>
      <w:r w:rsidRPr="0015376C">
        <w:rPr>
          <w:rFonts w:ascii="Times New Roman" w:hAnsi="Times New Roman" w:cs="Times New Roman"/>
          <w:sz w:val="24"/>
          <w:szCs w:val="24"/>
        </w:rPr>
        <w:t>n hatasından dolayı sorumluluğunun istisna akdine; yapım kontrolündeki özen eksikliğinin, vek</w:t>
      </w:r>
      <w:r w:rsidRPr="0015376C">
        <w:rPr>
          <w:rFonts w:ascii="Times New Roman" w:hAnsi="Times New Roman" w:cs="Times New Roman"/>
          <w:sz w:val="24"/>
          <w:szCs w:val="24"/>
        </w:rPr>
        <w:sym w:font="Times New Roman" w:char="00E2"/>
      </w:r>
      <w:r w:rsidRPr="0015376C">
        <w:rPr>
          <w:rFonts w:ascii="Times New Roman" w:hAnsi="Times New Roman" w:cs="Times New Roman"/>
          <w:sz w:val="24"/>
          <w:szCs w:val="24"/>
        </w:rPr>
        <w:t xml:space="preserve">let akdine ait hükümlere göre çözümleneceğini kabul etmiştir. Ancak, bu </w:t>
      </w:r>
      <w:r w:rsidRPr="0015376C">
        <w:rPr>
          <w:rFonts w:ascii="Times New Roman" w:hAnsi="Times New Roman" w:cs="Times New Roman"/>
          <w:sz w:val="24"/>
          <w:szCs w:val="24"/>
        </w:rPr>
        <w:lastRenderedPageBreak/>
        <w:t>görüşün, karma sözleşmelerde, sözleşmeyle gerçekleşen yapısal birliği bozduğu ifade edilmektedir.</w:t>
      </w:r>
    </w:p>
    <w:p w:rsidR="00997662" w:rsidRPr="0015376C" w:rsidRDefault="00997662" w:rsidP="00997662">
      <w:pPr>
        <w:pStyle w:val="Balk5"/>
        <w:spacing w:before="100" w:beforeAutospacing="1" w:after="100" w:afterAutospacing="1"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d. </w:t>
      </w:r>
      <w:r w:rsidRPr="0015376C">
        <w:rPr>
          <w:rFonts w:ascii="Times New Roman" w:hAnsi="Times New Roman" w:cs="Times New Roman"/>
          <w:color w:val="auto"/>
          <w:sz w:val="24"/>
          <w:szCs w:val="24"/>
        </w:rPr>
        <w:t>Yaratma teorisi</w:t>
      </w:r>
    </w:p>
    <w:p w:rsidR="00997662" w:rsidRPr="0015376C" w:rsidRDefault="00997662" w:rsidP="00997662">
      <w:pPr>
        <w:spacing w:before="100" w:beforeAutospacing="1" w:after="100" w:afterAutospacing="1" w:line="360" w:lineRule="auto"/>
        <w:ind w:firstLine="708"/>
        <w:jc w:val="both"/>
        <w:rPr>
          <w:rFonts w:ascii="Times New Roman" w:hAnsi="Times New Roman" w:cs="Times New Roman"/>
          <w:sz w:val="24"/>
          <w:szCs w:val="24"/>
        </w:rPr>
      </w:pPr>
      <w:r w:rsidRPr="0015376C">
        <w:rPr>
          <w:rFonts w:ascii="Times New Roman" w:hAnsi="Times New Roman" w:cs="Times New Roman"/>
          <w:sz w:val="24"/>
          <w:szCs w:val="24"/>
        </w:rPr>
        <w:t xml:space="preserve">Bu teoriye göre, örf ve </w:t>
      </w:r>
      <w:r w:rsidRPr="0015376C">
        <w:rPr>
          <w:rFonts w:ascii="Times New Roman" w:hAnsi="Times New Roman" w:cs="Times New Roman"/>
          <w:sz w:val="24"/>
          <w:szCs w:val="24"/>
        </w:rPr>
        <w:sym w:font="Times New Roman" w:char="00E2"/>
      </w:r>
      <w:r w:rsidRPr="0015376C">
        <w:rPr>
          <w:rFonts w:ascii="Times New Roman" w:hAnsi="Times New Roman" w:cs="Times New Roman"/>
          <w:sz w:val="24"/>
          <w:szCs w:val="24"/>
        </w:rPr>
        <w:t>det hukuku kuralının bulunmadığı hallerde, yargıç isimsiz sözleşmelere uygulanacak hükmü, MK m. 1/II uyarınca bizzat kendisi koymalıdır. Bununla beraber, bu şekilde ko</w:t>
      </w:r>
      <w:r w:rsidRPr="0015376C">
        <w:rPr>
          <w:rFonts w:ascii="Times New Roman" w:hAnsi="Times New Roman" w:cs="Times New Roman"/>
          <w:sz w:val="24"/>
          <w:szCs w:val="24"/>
        </w:rPr>
        <w:softHyphen/>
        <w:t>nulan genel ve soyut kurallar henüz iş hayatında yoğunlaşmamış mün</w:t>
      </w:r>
      <w:r w:rsidRPr="0015376C">
        <w:rPr>
          <w:rFonts w:ascii="Times New Roman" w:hAnsi="Times New Roman" w:cs="Times New Roman"/>
          <w:sz w:val="24"/>
          <w:szCs w:val="24"/>
        </w:rPr>
        <w:softHyphen/>
        <w:t>ferit isimsiz sözleşmelerin tamamlanmasında elverişli olmayabilir.</w:t>
      </w:r>
    </w:p>
    <w:p w:rsidR="00997662" w:rsidRPr="0015376C" w:rsidRDefault="00997662" w:rsidP="00997662">
      <w:pPr>
        <w:pStyle w:val="Balk4"/>
        <w:tabs>
          <w:tab w:val="left" w:pos="624"/>
        </w:tabs>
        <w:spacing w:before="100" w:beforeAutospacing="1" w:after="100" w:afterAutospacing="1"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w:t>
      </w:r>
      <w:r w:rsidRPr="0015376C">
        <w:rPr>
          <w:rFonts w:ascii="Times New Roman" w:hAnsi="Times New Roman" w:cs="Times New Roman"/>
          <w:color w:val="auto"/>
          <w:sz w:val="24"/>
          <w:szCs w:val="24"/>
        </w:rPr>
        <w:t>Kendisine özgü yapısı olan (sui generis) sözleşmelerin</w:t>
      </w:r>
      <w:r>
        <w:rPr>
          <w:rFonts w:ascii="Times New Roman" w:hAnsi="Times New Roman" w:cs="Times New Roman"/>
          <w:color w:val="auto"/>
          <w:sz w:val="24"/>
          <w:szCs w:val="24"/>
        </w:rPr>
        <w:t xml:space="preserve"> t</w:t>
      </w:r>
      <w:r w:rsidRPr="0015376C">
        <w:rPr>
          <w:rFonts w:ascii="Times New Roman" w:hAnsi="Times New Roman" w:cs="Times New Roman"/>
          <w:color w:val="auto"/>
          <w:sz w:val="24"/>
          <w:szCs w:val="24"/>
        </w:rPr>
        <w:t>amamlanması</w:t>
      </w:r>
    </w:p>
    <w:p w:rsidR="00997662" w:rsidRPr="0015376C" w:rsidRDefault="00997662" w:rsidP="00997662">
      <w:pPr>
        <w:spacing w:before="100" w:beforeAutospacing="1" w:after="100" w:afterAutospacing="1" w:line="360" w:lineRule="auto"/>
        <w:ind w:firstLine="708"/>
        <w:jc w:val="both"/>
        <w:rPr>
          <w:rFonts w:ascii="Times New Roman" w:hAnsi="Times New Roman" w:cs="Times New Roman"/>
          <w:sz w:val="24"/>
          <w:szCs w:val="24"/>
        </w:rPr>
      </w:pPr>
      <w:r w:rsidRPr="0015376C">
        <w:rPr>
          <w:rFonts w:ascii="Times New Roman" w:hAnsi="Times New Roman" w:cs="Times New Roman"/>
          <w:sz w:val="24"/>
          <w:szCs w:val="24"/>
        </w:rPr>
        <w:t>Bu sözleşmelerin belirli bir tiple ilişkisi olmadığı için, yedek hukuk kurallarının doğrudan doğruya uygulanması söz konusu değildir. Bu durumda, yargıcın MK m. 1/II gereğince hukuk yaratmak suretiyle boşluk doldurması gerekir. Bu suretle gerçekleşen uygulamalar sonunda, yargıcın yarattığı sözleşme tipleri hukuku doğmuş olur.</w:t>
      </w:r>
    </w:p>
    <w:p w:rsidR="00997662" w:rsidRPr="0015376C" w:rsidRDefault="00997662" w:rsidP="00997662">
      <w:pPr>
        <w:pStyle w:val="Balk4"/>
        <w:spacing w:before="100" w:beforeAutospacing="1" w:after="100" w:afterAutospacing="1"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w:t>
      </w:r>
      <w:r w:rsidRPr="0015376C">
        <w:rPr>
          <w:rFonts w:ascii="Times New Roman" w:hAnsi="Times New Roman" w:cs="Times New Roman"/>
          <w:color w:val="auto"/>
          <w:sz w:val="24"/>
          <w:szCs w:val="24"/>
        </w:rPr>
        <w:t>Bileşik sözleşmelerin tamamlanması</w:t>
      </w:r>
    </w:p>
    <w:p w:rsidR="00997662" w:rsidRPr="0015376C" w:rsidRDefault="00997662" w:rsidP="00997662">
      <w:pPr>
        <w:spacing w:before="100" w:beforeAutospacing="1" w:after="100" w:afterAutospacing="1" w:line="360" w:lineRule="auto"/>
        <w:ind w:firstLine="708"/>
        <w:jc w:val="both"/>
        <w:rPr>
          <w:rFonts w:ascii="Times New Roman" w:hAnsi="Times New Roman" w:cs="Times New Roman"/>
          <w:sz w:val="24"/>
          <w:szCs w:val="24"/>
        </w:rPr>
      </w:pPr>
      <w:r w:rsidRPr="0015376C">
        <w:rPr>
          <w:rFonts w:ascii="Times New Roman" w:hAnsi="Times New Roman" w:cs="Times New Roman"/>
          <w:sz w:val="24"/>
          <w:szCs w:val="24"/>
        </w:rPr>
        <w:t>Bunlarda her sözleşme tipine ait hükümler uygulanır. Bu takdirde yargıcın münferit sözleşme yapılarını nasıl bir sistem bütünlüğü içinde toplayabileceği sorusuyla karşılaşılacaktır.</w:t>
      </w:r>
    </w:p>
    <w:p w:rsidR="00997662" w:rsidRPr="0015376C" w:rsidRDefault="00997662" w:rsidP="00997662">
      <w:pPr>
        <w:spacing w:before="100" w:beforeAutospacing="1" w:after="100" w:afterAutospacing="1" w:line="360" w:lineRule="auto"/>
        <w:jc w:val="both"/>
        <w:rPr>
          <w:rFonts w:ascii="Times New Roman" w:hAnsi="Times New Roman" w:cs="Times New Roman"/>
          <w:sz w:val="24"/>
          <w:szCs w:val="24"/>
        </w:rPr>
      </w:pPr>
    </w:p>
    <w:p w:rsidR="00997662" w:rsidRPr="00B71A14" w:rsidRDefault="00997662" w:rsidP="00872F16">
      <w:pPr>
        <w:spacing w:before="100" w:beforeAutospacing="1" w:after="100" w:afterAutospacing="1" w:line="360" w:lineRule="auto"/>
        <w:ind w:firstLine="708"/>
        <w:jc w:val="both"/>
        <w:rPr>
          <w:rFonts w:ascii="Times New Roman" w:hAnsi="Times New Roman" w:cs="Times New Roman"/>
          <w:sz w:val="24"/>
          <w:szCs w:val="24"/>
        </w:rPr>
      </w:pPr>
      <w:bookmarkStart w:id="0" w:name="_GoBack"/>
      <w:bookmarkEnd w:id="0"/>
    </w:p>
    <w:sectPr w:rsidR="00997662" w:rsidRPr="00B71A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D5D" w:rsidRDefault="00921D5D" w:rsidP="004A09E2">
      <w:pPr>
        <w:spacing w:after="0" w:line="240" w:lineRule="auto"/>
      </w:pPr>
      <w:r>
        <w:separator/>
      </w:r>
    </w:p>
  </w:endnote>
  <w:endnote w:type="continuationSeparator" w:id="0">
    <w:p w:rsidR="00921D5D" w:rsidRDefault="00921D5D" w:rsidP="004A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D5D" w:rsidRDefault="00921D5D" w:rsidP="004A09E2">
      <w:pPr>
        <w:spacing w:after="0" w:line="240" w:lineRule="auto"/>
      </w:pPr>
      <w:r>
        <w:separator/>
      </w:r>
    </w:p>
  </w:footnote>
  <w:footnote w:type="continuationSeparator" w:id="0">
    <w:p w:rsidR="00921D5D" w:rsidRDefault="00921D5D" w:rsidP="004A09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82"/>
    <w:rsid w:val="001B6F98"/>
    <w:rsid w:val="00273FCE"/>
    <w:rsid w:val="004A09E2"/>
    <w:rsid w:val="00687282"/>
    <w:rsid w:val="00872F16"/>
    <w:rsid w:val="0087534C"/>
    <w:rsid w:val="00921D5D"/>
    <w:rsid w:val="00997662"/>
    <w:rsid w:val="00A04707"/>
    <w:rsid w:val="00B71A14"/>
    <w:rsid w:val="00E22091"/>
    <w:rsid w:val="00E537F4"/>
    <w:rsid w:val="00F15C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58362-8EB4-463F-83F6-6EF62C36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FCE"/>
  </w:style>
  <w:style w:type="paragraph" w:styleId="Balk1">
    <w:name w:val="heading 1"/>
    <w:basedOn w:val="Normal"/>
    <w:next w:val="Normal"/>
    <w:link w:val="Balk1Char"/>
    <w:uiPriority w:val="9"/>
    <w:qFormat/>
    <w:rsid w:val="00872F16"/>
    <w:pPr>
      <w:keepNext/>
      <w:spacing w:before="100" w:beforeAutospacing="1" w:after="100" w:afterAutospacing="1" w:line="360" w:lineRule="auto"/>
      <w:jc w:val="both"/>
      <w:outlineLvl w:val="0"/>
    </w:pPr>
    <w:rPr>
      <w:rFonts w:ascii="Times New Roman" w:hAnsi="Times New Roman" w:cs="Times New Roman"/>
      <w:b/>
      <w:sz w:val="24"/>
      <w:szCs w:val="24"/>
    </w:rPr>
  </w:style>
  <w:style w:type="paragraph" w:styleId="Balk2">
    <w:name w:val="heading 2"/>
    <w:basedOn w:val="Normal"/>
    <w:next w:val="Normal"/>
    <w:link w:val="Balk2Char"/>
    <w:uiPriority w:val="9"/>
    <w:semiHidden/>
    <w:unhideWhenUsed/>
    <w:qFormat/>
    <w:rsid w:val="001B6F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273FCE"/>
    <w:pPr>
      <w:keepNext/>
      <w:spacing w:after="0" w:line="240" w:lineRule="auto"/>
      <w:outlineLvl w:val="2"/>
    </w:pPr>
    <w:rPr>
      <w:rFonts w:cs="Times New Roman"/>
      <w:b/>
      <w:sz w:val="24"/>
      <w:szCs w:val="24"/>
    </w:rPr>
  </w:style>
  <w:style w:type="paragraph" w:styleId="Balk4">
    <w:name w:val="heading 4"/>
    <w:basedOn w:val="Normal"/>
    <w:next w:val="Normal"/>
    <w:link w:val="Balk4Char"/>
    <w:uiPriority w:val="9"/>
    <w:semiHidden/>
    <w:unhideWhenUsed/>
    <w:qFormat/>
    <w:rsid w:val="00E537F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E537F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73FCE"/>
    <w:rPr>
      <w:rFonts w:cs="Times New Roman"/>
      <w:b/>
      <w:sz w:val="24"/>
      <w:szCs w:val="24"/>
    </w:rPr>
  </w:style>
  <w:style w:type="paragraph" w:styleId="GvdeMetni">
    <w:name w:val="Body Text"/>
    <w:basedOn w:val="Normal"/>
    <w:link w:val="GvdeMetniChar"/>
    <w:uiPriority w:val="99"/>
    <w:unhideWhenUsed/>
    <w:rsid w:val="00273FCE"/>
    <w:pPr>
      <w:spacing w:before="100" w:beforeAutospacing="1" w:after="100" w:afterAutospacing="1" w:line="360" w:lineRule="auto"/>
      <w:jc w:val="both"/>
    </w:pPr>
    <w:rPr>
      <w:sz w:val="24"/>
      <w:szCs w:val="24"/>
    </w:rPr>
  </w:style>
  <w:style w:type="character" w:customStyle="1" w:styleId="GvdeMetniChar">
    <w:name w:val="Gövde Metni Char"/>
    <w:basedOn w:val="VarsaylanParagrafYazTipi"/>
    <w:link w:val="GvdeMetni"/>
    <w:uiPriority w:val="99"/>
    <w:rsid w:val="00273FCE"/>
    <w:rPr>
      <w:sz w:val="24"/>
      <w:szCs w:val="24"/>
    </w:rPr>
  </w:style>
  <w:style w:type="character" w:customStyle="1" w:styleId="Balk2Char">
    <w:name w:val="Başlık 2 Char"/>
    <w:basedOn w:val="VarsaylanParagrafYazTipi"/>
    <w:link w:val="Balk2"/>
    <w:uiPriority w:val="9"/>
    <w:semiHidden/>
    <w:rsid w:val="001B6F98"/>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1B6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uiPriority w:val="99"/>
    <w:unhideWhenUsed/>
    <w:rsid w:val="001B6F98"/>
    <w:pPr>
      <w:spacing w:before="100" w:beforeAutospacing="1" w:after="100" w:afterAutospacing="1" w:line="360" w:lineRule="auto"/>
    </w:pPr>
    <w:rPr>
      <w:rFonts w:ascii="Calibri" w:hAnsi="Calibri" w:cs="Times New Roman"/>
      <w:sz w:val="24"/>
      <w:szCs w:val="24"/>
    </w:rPr>
  </w:style>
  <w:style w:type="character" w:customStyle="1" w:styleId="GvdeMetni2Char">
    <w:name w:val="Gövde Metni 2 Char"/>
    <w:basedOn w:val="VarsaylanParagrafYazTipi"/>
    <w:link w:val="GvdeMetni2"/>
    <w:uiPriority w:val="99"/>
    <w:rsid w:val="001B6F98"/>
    <w:rPr>
      <w:rFonts w:ascii="Calibri" w:hAnsi="Calibri" w:cs="Times New Roman"/>
      <w:sz w:val="24"/>
      <w:szCs w:val="24"/>
    </w:rPr>
  </w:style>
  <w:style w:type="paragraph" w:styleId="DipnotMetni">
    <w:name w:val="footnote text"/>
    <w:basedOn w:val="Normal"/>
    <w:link w:val="DipnotMetniChar"/>
    <w:semiHidden/>
    <w:rsid w:val="004A09E2"/>
    <w:pPr>
      <w:spacing w:before="20" w:after="20" w:line="240" w:lineRule="auto"/>
      <w:ind w:left="340" w:hanging="340"/>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4A09E2"/>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4A09E2"/>
    <w:rPr>
      <w:vertAlign w:val="superscript"/>
    </w:rPr>
  </w:style>
  <w:style w:type="character" w:customStyle="1" w:styleId="Balk4Char">
    <w:name w:val="Başlık 4 Char"/>
    <w:basedOn w:val="VarsaylanParagrafYazTipi"/>
    <w:link w:val="Balk4"/>
    <w:uiPriority w:val="9"/>
    <w:semiHidden/>
    <w:rsid w:val="00E537F4"/>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E537F4"/>
    <w:rPr>
      <w:rFonts w:asciiTheme="majorHAnsi" w:eastAsiaTheme="majorEastAsia" w:hAnsiTheme="majorHAnsi" w:cstheme="majorBidi"/>
      <w:color w:val="2E74B5" w:themeColor="accent1" w:themeShade="BF"/>
    </w:rPr>
  </w:style>
  <w:style w:type="character" w:customStyle="1" w:styleId="Balk1Char">
    <w:name w:val="Başlık 1 Char"/>
    <w:basedOn w:val="VarsaylanParagrafYazTipi"/>
    <w:link w:val="Balk1"/>
    <w:uiPriority w:val="9"/>
    <w:rsid w:val="00872F16"/>
    <w:rPr>
      <w:rFonts w:ascii="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763</Words>
  <Characters>4353</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duygu</cp:lastModifiedBy>
  <cp:revision>4</cp:revision>
  <dcterms:created xsi:type="dcterms:W3CDTF">2018-01-03T22:38:00Z</dcterms:created>
  <dcterms:modified xsi:type="dcterms:W3CDTF">2018-01-09T23:43:00Z</dcterms:modified>
</cp:coreProperties>
</file>